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000000" w:themeColor="text1"/>
          <w:sz w:val="44"/>
          <w:szCs w:val="44"/>
          <w:highlight w:val="none"/>
          <w:lang w:val="en-US" w:eastAsia="zh-CN"/>
          <w14:textFill>
            <w14:solidFill>
              <w14:schemeClr w14:val="tx1"/>
            </w14:solidFill>
          </w14:textFill>
        </w:rPr>
      </w:pPr>
      <w:r>
        <w:rPr>
          <w:rFonts w:hint="default" w:ascii="Times New Roman" w:hAnsi="Times New Roman" w:cs="Times New Roman"/>
          <w:b/>
          <w:bCs/>
          <w:color w:val="000000" w:themeColor="text1"/>
          <w:sz w:val="44"/>
          <w:szCs w:val="44"/>
          <w:highlight w:val="none"/>
          <w:lang w:val="en-US" w:eastAsia="zh-CN"/>
          <w14:textFill>
            <w14:solidFill>
              <w14:schemeClr w14:val="tx1"/>
            </w14:solidFill>
          </w14:textFill>
        </w:rPr>
        <w:t>四平市铁东区人民政府关于加强全域土地综合整治助推乡村振兴战略指导意见</w:t>
      </w:r>
    </w:p>
    <w:p>
      <w:pPr>
        <w:jc w:val="center"/>
        <w:rPr>
          <w:rFonts w:hint="default" w:ascii="Times New Roman" w:hAnsi="Times New Roman"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楷体" w:cs="Times New Roman"/>
          <w:color w:val="000000" w:themeColor="text1"/>
          <w:sz w:val="32"/>
          <w:szCs w:val="32"/>
          <w:highlight w:val="none"/>
          <w:lang w:val="en-US" w:eastAsia="zh-CN"/>
          <w14:textFill>
            <w14:solidFill>
              <w14:schemeClr w14:val="tx1"/>
            </w14:solidFill>
          </w14:textFill>
        </w:rPr>
        <w:t>征求意见</w:t>
      </w:r>
      <w:r>
        <w:rPr>
          <w:rFonts w:hint="default" w:ascii="Times New Roman" w:hAnsi="Times New Roman" w:eastAsia="楷体" w:cs="Times New Roman"/>
          <w:color w:val="000000" w:themeColor="text1"/>
          <w:sz w:val="32"/>
          <w:szCs w:val="32"/>
          <w:highlight w:val="none"/>
          <w:lang w:val="en-US" w:eastAsia="zh-CN"/>
          <w14:textFill>
            <w14:solidFill>
              <w14:schemeClr w14:val="tx1"/>
            </w14:solidFill>
          </w14:textFill>
        </w:rPr>
        <w:t>稿）</w:t>
      </w:r>
    </w:p>
    <w:p>
      <w:pPr>
        <w:jc w:val="center"/>
        <w:rPr>
          <w:rFonts w:hint="default" w:ascii="Times New Roman" w:hAnsi="Times New Roman" w:cs="Times New Roman"/>
          <w:color w:val="000000" w:themeColor="text1"/>
          <w:sz w:val="36"/>
          <w:szCs w:val="36"/>
          <w:highlight w:val="none"/>
          <w:lang w:val="en-US" w:eastAsia="zh-CN"/>
          <w14:textFill>
            <w14:solidFill>
              <w14:schemeClr w14:val="tx1"/>
            </w14:solidFill>
          </w14:textFill>
        </w:rPr>
      </w:pPr>
    </w:p>
    <w:p>
      <w:p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bookmarkStart w:id="0" w:name="_GoBack"/>
      <w:bookmarkEnd w:id="0"/>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为推进全域土地综合整治及生态修复工作，保障建设用地项目落实耕地占补平衡需求，助推我区乡村振兴发展。根据《中共中央国务院关于全面推进乡村振兴加快农业农村现代化的意见》（中发[2021]1号）</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中共中央国务院关于加强耕地保护和改进平衡的意见》（中发[2017]4号）</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《国土资源部关于改进管理方式切实落实耕地占补平衡的意见》（国土资规[2017]13号）</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《中共吉林省委 吉林省人民政府关于加强耕地保护和改进占补平衡的实施意见》（吉发[2018]3号）</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、《吉林省人民政府办公厅关于引导和规范社会资本参与耕地后备资源开发利用的意见》（吉政办发</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[2021]</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62</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号</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等文件精神，结合我区实际，制定本实施意见。</w:t>
      </w:r>
    </w:p>
    <w:p>
      <w:pPr>
        <w:numPr>
          <w:ilvl w:val="0"/>
          <w:numId w:val="1"/>
        </w:numPr>
        <w:ind w:left="0" w:leftChars="0" w:firstLine="720" w:firstLineChars="0"/>
        <w:jc w:val="both"/>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指导思想</w:t>
      </w:r>
    </w:p>
    <w:p>
      <w:pPr>
        <w:numPr>
          <w:ilvl w:val="0"/>
          <w:numId w:val="0"/>
        </w:numPr>
        <w:ind w:firstLine="72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以习近平生态文明思想为指引，坚定不移贯彻新发展理念，深入落实藏粮于地、藏粮于技战略，不断完善耕地保护制度和占补平衡政策，着力加强耕地数量、质量、生态“三位一体”保护，着力加强耕地管控、建设、激励多措并举保护，坚持农民主体地位，充分尊重农民意愿，保障农民民主权和其他合法权益。调动农民的积极性、主动性、创造性，维护农民根本利益，为稳步提高粮食综合生产能力提供坚实资源保障。</w:t>
      </w:r>
    </w:p>
    <w:p>
      <w:pPr>
        <w:numPr>
          <w:ilvl w:val="0"/>
          <w:numId w:val="1"/>
        </w:numPr>
        <w:ind w:left="218" w:leftChars="104" w:firstLine="420" w:firstLineChars="0"/>
        <w:jc w:val="both"/>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工作目标</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全域土地综合整治是指对土地资源要素在全域范围内进行全方位重新组合，优化用地布局，促进农田集中连片、建设用地集中集聚；盘活利用存量，节约集约水平更加提升，提高土地利用整体效率；补充用地指标，有效拓展发展空间；解决占补平衡，保障重大项目落地；美化生态环境，打造和谐宜居家园。推进“全域土地综合整治”项目建设，</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支持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建设用地复垦（城乡建设用地增减挂钩）</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项目，支持耕地后备资源开发利用项目，支持旱地改水田等不属于耕地后备资源开发利用的项目，支持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拆旧建新区、耕地质量等级提升、高标准农田建设、历史遗留工矿废弃地复垦、耕作层剥离再利用等</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大力推进节水灌溉、保护性耕作等先进农业生产技术在土地综合整治项目上的推广和应用。结合实施黑土地农田保护综合治理工程、农田集中连片工程和农田防护林网建设工程，重点打造我区优质水稻种植带。项目建设要综合配多套各项农业生产设施，因地制宜实施田水路林村综合整治，确保治一片、成一片、见效一片。要合理控制投资标准，优先选用成本低、见效快、成熟稳定的土壤改良技术。</w:t>
      </w:r>
    </w:p>
    <w:p>
      <w:pPr>
        <w:numPr>
          <w:ilvl w:val="0"/>
          <w:numId w:val="1"/>
        </w:numPr>
        <w:ind w:left="0" w:leftChars="0" w:firstLine="720" w:firstLineChars="0"/>
        <w:jc w:val="both"/>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项目运作模式</w:t>
      </w:r>
    </w:p>
    <w:p>
      <w:pPr>
        <w:numPr>
          <w:ilvl w:val="0"/>
          <w:numId w:val="2"/>
        </w:numPr>
        <w:ind w:left="630" w:leftChars="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项目实施机构</w:t>
      </w:r>
    </w:p>
    <w:p>
      <w:pPr>
        <w:numPr>
          <w:ilvl w:val="0"/>
          <w:numId w:val="0"/>
        </w:numPr>
        <w:ind w:firstLine="64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授权铁东区农业农村局作为铁东区政府项目实施代表机构，代表铁东区政府负责对项目实施进行整体计划和操作</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，编制实施方案，组织项目招投标等</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numPr>
          <w:ilvl w:val="0"/>
          <w:numId w:val="2"/>
        </w:numPr>
        <w:ind w:left="630" w:leftChars="0" w:firstLine="0" w:firstLineChars="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运作具体模式</w:t>
      </w:r>
    </w:p>
    <w:p>
      <w:pPr>
        <w:numPr>
          <w:ilvl w:val="0"/>
          <w:numId w:val="0"/>
        </w:num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坚持政策引导、规划引领、实体整治、市场运作的原则，参照省内外先行先试地区做法，引入社会力量和资本，采取公开招标方式，选择有能力、有实力、有信誉的项目实施主体，负责项目具体实施。</w:t>
      </w:r>
    </w:p>
    <w:p>
      <w:pPr>
        <w:numPr>
          <w:ilvl w:val="0"/>
          <w:numId w:val="0"/>
        </w:num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市场化招标，由实施代表机构铁东区农业农村局对铁东区拟实施的土地项目对实施主体进行招投标。</w:t>
      </w:r>
    </w:p>
    <w:p>
      <w:pPr>
        <w:numPr>
          <w:ilvl w:val="0"/>
          <w:numId w:val="0"/>
        </w:num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建设方式，实施主体中标后全盘承担建设任务，按农业农村局要求的建设内容、时序、标准，自主具体运作，直至终验合格。验收合格后，由农业农村局对实施主体给予奖补。</w:t>
      </w:r>
    </w:p>
    <w:p>
      <w:pPr>
        <w:numPr>
          <w:ilvl w:val="0"/>
          <w:numId w:val="0"/>
        </w:num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奖补方式，实施主体按要求完成项目后，由实施代表机构联合相关部门进行验收，取得验收证书，以验收证书载明的挂钩结余指标及新增耕地指标等建立指标台账，由实施代表机构参照各项工程的设计预算按中选价确保向实施主体支付奖补资金。</w:t>
      </w:r>
    </w:p>
    <w:p>
      <w:pPr>
        <w:numPr>
          <w:ilvl w:val="0"/>
          <w:numId w:val="0"/>
        </w:numPr>
        <w:ind w:firstLine="640" w:firstLineChars="200"/>
        <w:jc w:val="both"/>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奖补标准，</w:t>
      </w:r>
      <w:r>
        <w:rPr>
          <w:rFonts w:hint="default" w:ascii="Times New Roman" w:hAnsi="Times New Roman" w:eastAsia="仿宋" w:cs="Times New Roman"/>
          <w:color w:val="auto"/>
          <w:sz w:val="32"/>
          <w:szCs w:val="32"/>
          <w:highlight w:val="none"/>
          <w:lang w:val="en-US" w:eastAsia="zh-CN"/>
        </w:rPr>
        <w:t>“全域土地综合整治项目”产生的补充耕地指标，由区政府统一管理，按“以奖代补”方式给予奖励。1、垦造耕地项目、旱地改水田项目，根据入库新增耕地面积和旱地改水田面积，旱改水</w:t>
      </w:r>
      <w:r>
        <w:rPr>
          <w:rFonts w:hint="eastAsia" w:ascii="Times New Roman" w:hAnsi="Times New Roman" w:eastAsia="仿宋" w:cs="Times New Roman"/>
          <w:color w:val="auto"/>
          <w:sz w:val="32"/>
          <w:szCs w:val="32"/>
          <w:highlight w:val="none"/>
          <w:lang w:val="en-US" w:eastAsia="zh-CN"/>
        </w:rPr>
        <w:t>项目改造出的水田与原旱田标准一致的</w:t>
      </w:r>
      <w:r>
        <w:rPr>
          <w:rFonts w:hint="default" w:ascii="Times New Roman" w:hAnsi="Times New Roman" w:eastAsia="仿宋" w:cs="Times New Roman"/>
          <w:color w:val="auto"/>
          <w:sz w:val="32"/>
          <w:szCs w:val="32"/>
          <w:highlight w:val="none"/>
          <w:lang w:val="en-US" w:eastAsia="zh-CN"/>
        </w:rPr>
        <w:t>按不低于75</w:t>
      </w:r>
      <w:r>
        <w:rPr>
          <w:rFonts w:hint="eastAsia" w:ascii="Times New Roman" w:hAnsi="Times New Roman" w:eastAsia="仿宋" w:cs="Times New Roman"/>
          <w:color w:val="auto"/>
          <w:sz w:val="32"/>
          <w:szCs w:val="32"/>
          <w:highlight w:val="none"/>
          <w:lang w:val="en-US" w:eastAsia="zh-CN"/>
        </w:rPr>
        <w:t>万</w:t>
      </w:r>
      <w:r>
        <w:rPr>
          <w:rFonts w:hint="default" w:ascii="Times New Roman" w:hAnsi="Times New Roman" w:eastAsia="仿宋" w:cs="Times New Roman"/>
          <w:color w:val="auto"/>
          <w:sz w:val="32"/>
          <w:szCs w:val="32"/>
          <w:highlight w:val="none"/>
          <w:lang w:val="en-US" w:eastAsia="zh-CN"/>
        </w:rPr>
        <w:t>元/公顷给予奖补，</w:t>
      </w:r>
      <w:r>
        <w:rPr>
          <w:rFonts w:hint="eastAsia" w:ascii="Times New Roman" w:hAnsi="Times New Roman" w:eastAsia="仿宋" w:cs="Times New Roman"/>
          <w:color w:val="auto"/>
          <w:sz w:val="32"/>
          <w:szCs w:val="32"/>
          <w:highlight w:val="none"/>
          <w:lang w:val="en-US" w:eastAsia="zh-CN"/>
        </w:rPr>
        <w:t>改造出的水田较原旱田每差1个等级差5万元/公顷，</w:t>
      </w:r>
      <w:r>
        <w:rPr>
          <w:rFonts w:hint="default" w:ascii="Times New Roman" w:hAnsi="Times New Roman" w:eastAsia="仿宋" w:cs="Times New Roman"/>
          <w:color w:val="auto"/>
          <w:sz w:val="32"/>
          <w:szCs w:val="32"/>
          <w:highlight w:val="none"/>
          <w:lang w:val="en-US" w:eastAsia="zh-CN"/>
        </w:rPr>
        <w:t>新增耕地按照交易市场价给予奖补，2、耕地质量提升项目：按入库面积，每提高一个等级产生的土地指标</w:t>
      </w:r>
      <w:r>
        <w:rPr>
          <w:rFonts w:hint="eastAsia" w:ascii="Times New Roman" w:hAnsi="Times New Roman" w:eastAsia="仿宋" w:cs="Times New Roman"/>
          <w:color w:val="auto"/>
          <w:sz w:val="32"/>
          <w:szCs w:val="32"/>
          <w:highlight w:val="none"/>
          <w:lang w:val="en-US" w:eastAsia="zh-CN"/>
        </w:rPr>
        <w:t>收益</w:t>
      </w:r>
      <w:r>
        <w:rPr>
          <w:rFonts w:hint="default" w:ascii="Times New Roman" w:hAnsi="Times New Roman" w:eastAsia="仿宋" w:cs="Times New Roman"/>
          <w:color w:val="auto"/>
          <w:sz w:val="32"/>
          <w:szCs w:val="32"/>
          <w:highlight w:val="none"/>
          <w:lang w:val="en-US" w:eastAsia="zh-CN"/>
        </w:rPr>
        <w:t>全额奖补。3、铁东区土地复垦整理出的自用耕地指标</w:t>
      </w:r>
      <w:r>
        <w:rPr>
          <w:rFonts w:hint="eastAsia" w:ascii="Times New Roman" w:hAnsi="Times New Roman" w:eastAsia="仿宋" w:cs="Times New Roman"/>
          <w:color w:val="auto"/>
          <w:sz w:val="32"/>
          <w:szCs w:val="32"/>
          <w:highlight w:val="none"/>
          <w:lang w:val="en-US" w:eastAsia="zh-CN"/>
        </w:rPr>
        <w:t>10级旱田</w:t>
      </w:r>
      <w:r>
        <w:rPr>
          <w:rFonts w:hint="default" w:ascii="Times New Roman" w:hAnsi="Times New Roman" w:eastAsia="仿宋" w:cs="Times New Roman"/>
          <w:color w:val="auto"/>
          <w:sz w:val="32"/>
          <w:szCs w:val="32"/>
          <w:highlight w:val="none"/>
          <w:lang w:val="en-US" w:eastAsia="zh-CN"/>
        </w:rPr>
        <w:t>按240万元/公顷奖补</w:t>
      </w:r>
      <w:r>
        <w:rPr>
          <w:rFonts w:hint="eastAsia" w:ascii="Times New Roman" w:hAnsi="Times New Roman" w:eastAsia="仿宋" w:cs="Times New Roman"/>
          <w:color w:val="auto"/>
          <w:sz w:val="32"/>
          <w:szCs w:val="32"/>
          <w:highlight w:val="none"/>
          <w:lang w:val="en-US" w:eastAsia="zh-CN"/>
        </w:rPr>
        <w:t>，旱田标准每差1个等级价格差10万元/公顷。</w:t>
      </w:r>
    </w:p>
    <w:p>
      <w:pPr>
        <w:numPr>
          <w:ilvl w:val="0"/>
          <w:numId w:val="1"/>
        </w:numPr>
        <w:ind w:left="0" w:leftChars="0" w:firstLine="720" w:firstLineChars="0"/>
        <w:jc w:val="both"/>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保障措施</w:t>
      </w:r>
    </w:p>
    <w:p>
      <w:pPr>
        <w:numPr>
          <w:ilvl w:val="0"/>
          <w:numId w:val="3"/>
        </w:numPr>
        <w:ind w:left="-90" w:leftChars="0" w:firstLine="720" w:firstLineChars="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强化组织领导。各相关部门、乡镇政府要统筹兼顾，以保障我区乡村振兴可持续发展为目的，切实加强领导，建立</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政府主导，指挥部搭台，相关部门联</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动</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，合力攻坚</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的工作机制，落实责任，准确把握工作要求，全力做好全域土地整治项目。</w:t>
      </w:r>
    </w:p>
    <w:p>
      <w:pPr>
        <w:numPr>
          <w:ilvl w:val="0"/>
          <w:numId w:val="0"/>
        </w:num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铁东区政府成立全域土地综合整治项目指挥部（以下简称指挥部），总指挥由铁东区区长担任，副总指挥由铁东区主管副区长担任，成员单位由农业农村局、财政局、自然资源局、发展改革局等相关部门和项目所在乡镇政府组成。主要职责：负责全域土地综合整治项目的组织协调和指导管理工作；负责对项目的可行性和规划设计审定工作；负责对项目的立项、实施管理和竣工验收工作。</w:t>
      </w:r>
    </w:p>
    <w:p>
      <w:pPr>
        <w:numPr>
          <w:ilvl w:val="0"/>
          <w:numId w:val="0"/>
        </w:num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指挥部下设办公室，办公室主任由铁东区主管副区长担任，副主任由农业农村局局长、各乡镇党委书记担任，成员从相关部门业务人员中抽调。</w:t>
      </w:r>
    </w:p>
    <w:p>
      <w:pPr>
        <w:numPr>
          <w:ilvl w:val="0"/>
          <w:numId w:val="0"/>
        </w:num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授权铁东区农业农村局作为铁东区政府项目实施代表机构，代表铁东区政府负责对项目实施进行整体计划和操作。</w:t>
      </w:r>
    </w:p>
    <w:p>
      <w:pPr>
        <w:numPr>
          <w:ilvl w:val="0"/>
          <w:numId w:val="3"/>
        </w:numPr>
        <w:ind w:left="-90" w:leftChars="0" w:firstLine="720" w:firstLineChars="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强化责任落实。指挥部要与农业农村局等相关职能部门和各乡镇分别签订责任状。各乡镇政府要切实担负起包保责任，深入一线，指导检查项目推进情况。要建立工作机制，分解落实工作任务，充分发挥正确舆论导向，尊重农民意愿，做到群众自愿，稳定开展工作。</w:t>
      </w:r>
    </w:p>
    <w:p>
      <w:pPr>
        <w:numPr>
          <w:ilvl w:val="0"/>
          <w:numId w:val="3"/>
        </w:numPr>
        <w:ind w:left="-90" w:leftChars="0" w:firstLine="720" w:firstLineChars="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加强项目管理。一是土地综合整治的目标任务、整治区域、主要内容、空间布局等要符合乡镇国土空间规划和村庄规划。严格控制未利用地开垦，禁止违背农民意愿搞大拆大建，禁止破坏生态环境砍树挖山填湖，禁止占用耕地搞人造景观，严格保护具有历史文化价值的建筑，禁止破坏乡村风貌和历史文脉。二是要全面落实项目法人制、招投标制、监理制、公告制、合同制和审计制。项目实施管理要严格参照国家、省、市有关土地整治行业相关文件规定执行，采取市场化方式运作。三是全域土地综合整治项目”实际投资成本，即项目前期和后期费用、政策处理费用（按政府规定征地标准）、工程建设费用等按项目竣工财政审核的标准进行奖补。</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是管理经费专项用于工程各阶段资料组织、政策处理管理、项目种植管护巡查经费等</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各乡镇街及村级管理经费专项用于耕地保护及日常农田水利设施修缮、地力培育、耕地保护管理等新农村建设。</w:t>
      </w:r>
    </w:p>
    <w:p>
      <w:pPr>
        <w:numPr>
          <w:ilvl w:val="0"/>
          <w:numId w:val="3"/>
        </w:numPr>
        <w:ind w:left="-90" w:leftChars="0" w:firstLine="720" w:firstLineChars="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强化督察指导。项目的实施要严格按照相关规定执行，主动自觉接受纪检、审计部门监督。指挥部办公室要定期或不定期对各个阶段工作情况进行督导检查，及时做</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好</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工作调度，实时进行情况通报，及时解决工作中出现的新情况、新问题。对于作风不实，措施不当，政策落实不到位或导致发生不稳定因素的，将追究相关责任。</w:t>
      </w:r>
    </w:p>
    <w:p>
      <w:pPr>
        <w:numPr>
          <w:ilvl w:val="0"/>
          <w:numId w:val="0"/>
        </w:numPr>
        <w:ind w:firstLine="640" w:firstLineChars="20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（五）强化资金管理。在项目实施过程中，</w:t>
      </w:r>
      <w:r>
        <w:rPr>
          <w:rFonts w:hint="default" w:ascii="Times New Roman" w:hAnsi="Times New Roman" w:eastAsia="仿宋" w:cs="Times New Roman"/>
          <w:color w:val="auto"/>
          <w:sz w:val="32"/>
          <w:szCs w:val="32"/>
          <w:highlight w:val="none"/>
          <w:lang w:val="en-US" w:eastAsia="zh-CN"/>
        </w:rPr>
        <w:t>财政部门要实行“收支两条线”，</w:t>
      </w:r>
      <w:r>
        <w:rPr>
          <w:rFonts w:hint="eastAsia" w:ascii="Times New Roman" w:hAnsi="Times New Roman" w:eastAsia="仿宋" w:cs="Times New Roman"/>
          <w:color w:val="auto"/>
          <w:sz w:val="32"/>
          <w:szCs w:val="32"/>
          <w:highlight w:val="none"/>
          <w:lang w:val="en-US" w:eastAsia="zh-CN"/>
        </w:rPr>
        <w:t>按照“谁投资谁收益”的原则，由</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项目指挥部制定项目资金管理制度，财政局</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安排资金及时将</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奖励款项拨付给农业农村局</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农业农村局</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收到奖</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励款项</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后10个工作日内</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按照奖补标准及指标台账将资金及时拨付给中标实施主体。</w:t>
      </w:r>
    </w:p>
    <w:p>
      <w:pPr>
        <w:numPr>
          <w:ilvl w:val="0"/>
          <w:numId w:val="0"/>
        </w:numPr>
        <w:ind w:firstLine="72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本实施意见自公布之日起实施。XX年X月X日至本意见公布之日开工建设的土地综合整治项目参照本意见执行。此前区有关规定与本意见不一致的，以本意见为准。</w:t>
      </w:r>
    </w:p>
    <w:p>
      <w:pPr>
        <w:numPr>
          <w:ilvl w:val="0"/>
          <w:numId w:val="0"/>
        </w:numPr>
        <w:ind w:firstLine="720"/>
        <w:jc w:val="both"/>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p>
    <w:p>
      <w:pPr>
        <w:numPr>
          <w:ilvl w:val="0"/>
          <w:numId w:val="0"/>
        </w:numPr>
        <w:jc w:val="both"/>
        <w:rPr>
          <w:rFonts w:hint="default" w:ascii="Times New Roman" w:hAnsi="Times New Roman" w:cs="Times New Roman"/>
          <w:color w:val="000000" w:themeColor="text1"/>
          <w:sz w:val="36"/>
          <w:szCs w:val="36"/>
          <w:highlight w:val="none"/>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D8A66"/>
    <w:multiLevelType w:val="singleLevel"/>
    <w:tmpl w:val="B40D8A66"/>
    <w:lvl w:ilvl="0" w:tentative="0">
      <w:start w:val="1"/>
      <w:numFmt w:val="chineseCounting"/>
      <w:suff w:val="nothing"/>
      <w:lvlText w:val="（%1）"/>
      <w:lvlJc w:val="left"/>
      <w:pPr>
        <w:ind w:left="-90"/>
      </w:pPr>
      <w:rPr>
        <w:rFonts w:hint="eastAsia"/>
      </w:rPr>
    </w:lvl>
  </w:abstractNum>
  <w:abstractNum w:abstractNumId="1">
    <w:nsid w:val="00000000"/>
    <w:multiLevelType w:val="singleLevel"/>
    <w:tmpl w:val="00000000"/>
    <w:lvl w:ilvl="0" w:tentative="0">
      <w:start w:val="1"/>
      <w:numFmt w:val="chineseCounting"/>
      <w:suff w:val="nothing"/>
      <w:lvlText w:val="%1、"/>
      <w:lvlJc w:val="left"/>
      <w:pPr>
        <w:ind w:left="-300"/>
      </w:pPr>
      <w:rPr>
        <w:rFonts w:hint="eastAsia"/>
      </w:rPr>
    </w:lvl>
  </w:abstractNum>
  <w:abstractNum w:abstractNumId="2">
    <w:nsid w:val="0C8E3708"/>
    <w:multiLevelType w:val="singleLevel"/>
    <w:tmpl w:val="0C8E370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50E7B"/>
    <w:rsid w:val="050D1D1C"/>
    <w:rsid w:val="064A6756"/>
    <w:rsid w:val="089C5115"/>
    <w:rsid w:val="08B32C70"/>
    <w:rsid w:val="0A8C0226"/>
    <w:rsid w:val="0D083EFE"/>
    <w:rsid w:val="10596DB9"/>
    <w:rsid w:val="11286599"/>
    <w:rsid w:val="1168071E"/>
    <w:rsid w:val="15CB6CEA"/>
    <w:rsid w:val="194E686B"/>
    <w:rsid w:val="19CB0E46"/>
    <w:rsid w:val="1E6D3F72"/>
    <w:rsid w:val="1ECF325C"/>
    <w:rsid w:val="1F986C6B"/>
    <w:rsid w:val="23BD3B57"/>
    <w:rsid w:val="25D5758C"/>
    <w:rsid w:val="265F2383"/>
    <w:rsid w:val="2CB7370F"/>
    <w:rsid w:val="2CB87476"/>
    <w:rsid w:val="2D2357BC"/>
    <w:rsid w:val="2D7563F3"/>
    <w:rsid w:val="348E2A01"/>
    <w:rsid w:val="379C564E"/>
    <w:rsid w:val="385D2F55"/>
    <w:rsid w:val="3A2F1DB8"/>
    <w:rsid w:val="400F03DD"/>
    <w:rsid w:val="431A5259"/>
    <w:rsid w:val="44B85B8F"/>
    <w:rsid w:val="45485A34"/>
    <w:rsid w:val="462A00B0"/>
    <w:rsid w:val="46453A2B"/>
    <w:rsid w:val="47D4158E"/>
    <w:rsid w:val="48DC4A4D"/>
    <w:rsid w:val="4DC151A9"/>
    <w:rsid w:val="4DFA0B51"/>
    <w:rsid w:val="4F1D2EBB"/>
    <w:rsid w:val="4FD90992"/>
    <w:rsid w:val="52245D03"/>
    <w:rsid w:val="530A1269"/>
    <w:rsid w:val="54DE0F73"/>
    <w:rsid w:val="565173A7"/>
    <w:rsid w:val="58532336"/>
    <w:rsid w:val="58983FFC"/>
    <w:rsid w:val="58A120DF"/>
    <w:rsid w:val="662B74D0"/>
    <w:rsid w:val="665B715A"/>
    <w:rsid w:val="672C4B88"/>
    <w:rsid w:val="68FF70FA"/>
    <w:rsid w:val="69EE5988"/>
    <w:rsid w:val="74587B2A"/>
    <w:rsid w:val="7B1D6635"/>
    <w:rsid w:val="7C52295D"/>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2437</Words>
  <Characters>2465</Characters>
  <Paragraphs>52</Paragraphs>
  <TotalTime>15</TotalTime>
  <ScaleCrop>false</ScaleCrop>
  <LinksUpToDate>false</LinksUpToDate>
  <CharactersWithSpaces>2467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2021-12-29T23:59:00Z</dcterms:created>
  <dc:creator>翟英顺</dc:creator>
  <cp:lastModifiedBy>铁东政务服务局</cp:lastModifiedBy>
  <cp:lastPrinted>2022-01-18T08:28:00Z</cp:lastPrinted>
  <dcterms:modified xsi:type="dcterms:W3CDTF">2022-01-19T06:33:32Z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DDC580C68B7743BCBA7F1AE33F7018E9</vt:lpwstr>
  </property>
</Properties>
</file>