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eastAsia="方正小标宋简体"/>
          <w:sz w:val="44"/>
          <w:szCs w:val="44"/>
          <w:highlight w:val="none"/>
        </w:rPr>
      </w:pPr>
      <w:r>
        <w:rPr>
          <w:rFonts w:hint="eastAsia" w:ascii="方正小标宋简体" w:eastAsia="方正小标宋简体"/>
          <w:sz w:val="44"/>
          <w:szCs w:val="44"/>
          <w:lang w:eastAsia="zh-CN"/>
        </w:rPr>
        <w:t>四平市铁东区</w:t>
      </w:r>
      <w:r>
        <w:rPr>
          <w:rFonts w:hint="eastAsia" w:ascii="方正小标宋简体" w:eastAsia="方正小标宋简体"/>
          <w:sz w:val="44"/>
          <w:szCs w:val="44"/>
        </w:rPr>
        <w:t>关于</w:t>
      </w:r>
      <w:r>
        <w:rPr>
          <w:rFonts w:hint="eastAsia" w:ascii="方正小标宋简体" w:eastAsia="方正小标宋简体"/>
          <w:sz w:val="44"/>
          <w:szCs w:val="44"/>
          <w:highlight w:val="none"/>
        </w:rPr>
        <w:t>贯彻落实第二轮中央生态环境保护督察报告整改任务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pacing w:val="-20"/>
          <w:sz w:val="32"/>
          <w:szCs w:val="32"/>
          <w:lang w:val="en-US" w:eastAsia="zh-CN"/>
        </w:rPr>
      </w:pPr>
      <w:r>
        <w:rPr>
          <w:rFonts w:hint="eastAsia" w:eastAsia="方正小标宋简体"/>
          <w:spacing w:val="-20"/>
          <w:sz w:val="44"/>
          <w:szCs w:val="44"/>
          <w:highlight w:val="none"/>
          <w:lang w:eastAsia="zh-CN"/>
        </w:rPr>
        <w:t>销号公示表格</w:t>
      </w:r>
      <w:r>
        <w:rPr>
          <w:rFonts w:hint="eastAsia" w:eastAsia="方正小标宋简体"/>
          <w:spacing w:val="-20"/>
          <w:sz w:val="44"/>
          <w:szCs w:val="44"/>
          <w:highlight w:val="none"/>
        </w:rPr>
        <w:t>（序号</w:t>
      </w:r>
      <w:r>
        <w:rPr>
          <w:rFonts w:hint="eastAsia" w:eastAsia="方正小标宋简体"/>
          <w:spacing w:val="-20"/>
          <w:sz w:val="44"/>
          <w:szCs w:val="44"/>
          <w:highlight w:val="none"/>
          <w:lang w:eastAsia="zh-CN"/>
        </w:rPr>
        <w:t>四</w:t>
      </w:r>
      <w:r>
        <w:rPr>
          <w:rFonts w:hint="eastAsia" w:eastAsia="方正小标宋简体"/>
          <w:spacing w:val="-20"/>
          <w:sz w:val="44"/>
          <w:szCs w:val="44"/>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064"/>
        <w:gridCol w:w="2147"/>
        <w:gridCol w:w="1942"/>
        <w:gridCol w:w="3734"/>
        <w:gridCol w:w="410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市序号</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清单编号</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整改问题</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410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整改任务完成情况</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965"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四</w:t>
            </w:r>
          </w:p>
        </w:tc>
        <w:tc>
          <w:tcPr>
            <w:tcW w:w="1064"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四</w:t>
            </w:r>
          </w:p>
        </w:tc>
        <w:tc>
          <w:tcPr>
            <w:tcW w:w="2147"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一些地方重经济发展、轻生态保护的思想没有根本转变，甚至不惜以牺牲环境为代价。</w:t>
            </w:r>
          </w:p>
        </w:tc>
        <w:tc>
          <w:tcPr>
            <w:tcW w:w="1942"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4"/>
                <w:szCs w:val="24"/>
              </w:rPr>
              <w:t>牢</w:t>
            </w:r>
            <w:r>
              <w:rPr>
                <w:rFonts w:hint="eastAsia" w:ascii="仿宋" w:hAnsi="仿宋" w:eastAsia="仿宋" w:cs="仿宋"/>
                <w:sz w:val="21"/>
                <w:szCs w:val="21"/>
                <w:lang w:val="en-US" w:eastAsia="zh-CN"/>
              </w:rPr>
              <w:t>固树立生态优先理念，坚持走绿色发展道路，进一步规范项目立项审核，统筹推进生态环境高水平保护和经济高质量发展。</w:t>
            </w:r>
          </w:p>
        </w:tc>
        <w:tc>
          <w:tcPr>
            <w:tcW w:w="3734"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每季度召开党组会推进生态文明建设或生态环境保护工作。将习近平生态文明思想纳入局党组学习计划。通过学习，切实推动全局干部树牢“绿水青山就是金山银山、冰天雪地也是金山银山”理念，增强忧患意识和责任意识。（发改局）</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2.2022年7月底前，全面梳理已开工和计划开工的项目，排查是否存在手续不全、破坏生态等问题，对发现的问题建立台账、督促整改到位。着重排查“两高”项目是否存在手续不全、破坏生态等问题。（发改局）</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3.严把项目立项审核关，坚决遏制“两高”项目盲目发展，对“百千万”行动企业能耗双控情况实施月调度。（发改局）</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4.全面落实《四平市碳达峰实施方案》的前期工作，扎实推动我区绿色低碳发展，使保护生态环境、重视生态环境的理念逐步深入人心。（发改局）</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5.加强园区项目入区审查工作，确保区项目必须符合开发区产业规划。（四平经济开发区）</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6.园区入驻项目需符合《四平经济开发区总体规划环境影响报告书》要求，按照生态环境保护部门要求办理环境影响评价批复。（四平经济开发区）</w:t>
            </w:r>
          </w:p>
        </w:tc>
        <w:tc>
          <w:tcPr>
            <w:tcW w:w="4108"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1.召开了党组会推进生态文明建设，学习习近平生态文明思想。                   </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2.排查“两高”项目并建立清单。              </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3.每月对“百千万”行动企业能耗双控情况实施月调度，并上报市发改委。                            </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4.制定印发《铁东区能源安全暨碳达峰碳中和工作领导小组成员名单及机构职责》，设立《四平市铁东区能源安全暨碳达峰碳中和工作领导小组办公室碳排放统计核算工作组》                     </w:t>
            </w:r>
          </w:p>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5.严格按照要求对入区项目进行了审查。                            6、四平市生态环境保护局严格按照《四平经济开发区总体规划环境影响报告书》要求对入区企业进行审批。</w:t>
            </w:r>
          </w:p>
        </w:tc>
        <w:tc>
          <w:tcPr>
            <w:tcW w:w="1145" w:type="dxa"/>
            <w:noWrap w:val="0"/>
            <w:vAlign w:val="top"/>
          </w:tcPr>
          <w:p>
            <w:pPr>
              <w:pStyle w:val="5"/>
              <w:bidi w:val="0"/>
              <w:rPr>
                <w:rFonts w:hint="eastAsia" w:ascii="仿宋" w:hAnsi="仿宋" w:eastAsia="仿宋" w:cs="仿宋"/>
                <w:sz w:val="21"/>
                <w:szCs w:val="21"/>
                <w:lang w:val="en-US" w:eastAsia="zh-CN"/>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U5MDU4M2YxNzYxYTRmZjQwNDNhMDcyOTJhOWYifQ=="/>
  </w:docVars>
  <w:rsids>
    <w:rsidRoot w:val="497156C1"/>
    <w:rsid w:val="0B166C6B"/>
    <w:rsid w:val="166B0468"/>
    <w:rsid w:val="1A2B7F5D"/>
    <w:rsid w:val="39CB3E0B"/>
    <w:rsid w:val="47370652"/>
    <w:rsid w:val="497156C1"/>
    <w:rsid w:val="52505342"/>
    <w:rsid w:val="57D53DA1"/>
    <w:rsid w:val="7107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99"/>
    <w:pPr>
      <w:ind w:firstLine="420" w:firstLineChars="200"/>
    </w:pPr>
    <w:rPr>
      <w:rFonts w:ascii="Calibri" w:hAnsi="Calibri" w:eastAsia="Calibri" w:cs="Times New Roman"/>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Body Text 2"/>
    <w:basedOn w:val="1"/>
    <w:qFormat/>
    <w:uiPriority w:val="0"/>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674</Words>
  <Characters>680</Characters>
  <Lines>0</Lines>
  <Paragraphs>0</Paragraphs>
  <TotalTime>1</TotalTime>
  <ScaleCrop>false</ScaleCrop>
  <LinksUpToDate>false</LinksUpToDate>
  <CharactersWithSpaces>680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2019-12-06T00:47:00Z</dcterms:created>
  <dc:creator>%E8%94%93</dc:creator>
  <cp:lastModifiedBy>%E8%94%93</cp:lastModifiedBy>
  <dcterms:modified xsi:type="dcterms:W3CDTF">2022-08-22T01:56:58Z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BD91C367C02C4156A563D4690ECD999E</vt:lpwstr>
  </property>
</Properties>
</file>