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eastAsia="方正小标宋简体"/>
          <w:sz w:val="44"/>
          <w:szCs w:val="44"/>
          <w:highlight w:val="none"/>
        </w:rPr>
      </w:pPr>
      <w:r>
        <w:rPr>
          <w:rFonts w:hint="eastAsia" w:ascii="方正小标宋简体" w:eastAsia="方正小标宋简体"/>
          <w:sz w:val="44"/>
          <w:szCs w:val="44"/>
          <w:lang w:eastAsia="zh-CN"/>
        </w:rPr>
        <w:t>四平市铁东区</w:t>
      </w:r>
      <w:r>
        <w:rPr>
          <w:rFonts w:hint="eastAsia" w:ascii="方正小标宋简体" w:eastAsia="方正小标宋简体"/>
          <w:sz w:val="44"/>
          <w:szCs w:val="44"/>
        </w:rPr>
        <w:t>关于</w:t>
      </w:r>
      <w:r>
        <w:rPr>
          <w:rFonts w:hint="eastAsia" w:ascii="方正小标宋简体" w:eastAsia="方正小标宋简体"/>
          <w:sz w:val="44"/>
          <w:szCs w:val="44"/>
          <w:highlight w:val="none"/>
        </w:rPr>
        <w:t>贯彻落实第二轮中央生态环境保护督察报告整改任务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" w:hAnsi="仿宋" w:eastAsia="仿宋" w:cs="仿宋"/>
          <w:spacing w:val="-20"/>
          <w:sz w:val="32"/>
          <w:szCs w:val="32"/>
          <w:lang w:val="en-US" w:eastAsia="zh-CN"/>
        </w:rPr>
      </w:pPr>
      <w:r>
        <w:rPr>
          <w:rFonts w:hint="eastAsia" w:eastAsia="方正小标宋简体"/>
          <w:spacing w:val="-20"/>
          <w:sz w:val="44"/>
          <w:szCs w:val="44"/>
          <w:highlight w:val="none"/>
          <w:lang w:eastAsia="zh-CN"/>
        </w:rPr>
        <w:t>销号公示表格</w:t>
      </w:r>
      <w:r>
        <w:rPr>
          <w:rFonts w:hint="eastAsia" w:eastAsia="方正小标宋简体"/>
          <w:spacing w:val="-20"/>
          <w:sz w:val="44"/>
          <w:szCs w:val="44"/>
          <w:highlight w:val="none"/>
        </w:rPr>
        <w:t>（序号</w:t>
      </w:r>
      <w:r>
        <w:rPr>
          <w:rFonts w:hint="eastAsia" w:eastAsia="方正小标宋简体"/>
          <w:spacing w:val="-20"/>
          <w:sz w:val="44"/>
          <w:szCs w:val="44"/>
          <w:highlight w:val="none"/>
          <w:lang w:eastAsia="zh-CN"/>
        </w:rPr>
        <w:t>三十三</w:t>
      </w:r>
      <w:r>
        <w:rPr>
          <w:rFonts w:hint="eastAsia" w:eastAsia="方正小标宋简体"/>
          <w:spacing w:val="-20"/>
          <w:sz w:val="44"/>
          <w:szCs w:val="44"/>
          <w:highlight w:val="none"/>
        </w:rPr>
        <w:t>）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5"/>
        <w:gridCol w:w="1064"/>
        <w:gridCol w:w="2147"/>
        <w:gridCol w:w="1942"/>
        <w:gridCol w:w="3734"/>
        <w:gridCol w:w="4108"/>
        <w:gridCol w:w="11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1" w:hRule="atLeast"/>
        </w:trPr>
        <w:tc>
          <w:tcPr>
            <w:tcW w:w="9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市序号</w:t>
            </w:r>
          </w:p>
        </w:tc>
        <w:tc>
          <w:tcPr>
            <w:tcW w:w="106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清单编号</w:t>
            </w:r>
          </w:p>
        </w:tc>
        <w:tc>
          <w:tcPr>
            <w:tcW w:w="214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整改问题</w:t>
            </w:r>
          </w:p>
        </w:tc>
        <w:tc>
          <w:tcPr>
            <w:tcW w:w="194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整改目标</w:t>
            </w:r>
          </w:p>
        </w:tc>
        <w:tc>
          <w:tcPr>
            <w:tcW w:w="37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整改措施</w:t>
            </w:r>
          </w:p>
        </w:tc>
        <w:tc>
          <w:tcPr>
            <w:tcW w:w="41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整改任务完成情况</w:t>
            </w:r>
          </w:p>
        </w:tc>
        <w:tc>
          <w:tcPr>
            <w:tcW w:w="11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right="0" w:right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80" w:hRule="atLeast"/>
        </w:trPr>
        <w:tc>
          <w:tcPr>
            <w:tcW w:w="965" w:type="dxa"/>
            <w:noWrap w:val="0"/>
            <w:vAlign w:val="top"/>
          </w:tcPr>
          <w:p>
            <w:pPr>
              <w:pStyle w:val="5"/>
              <w:bidi w:val="0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三十三</w:t>
            </w:r>
          </w:p>
        </w:tc>
        <w:tc>
          <w:tcPr>
            <w:tcW w:w="1064" w:type="dxa"/>
            <w:noWrap w:val="0"/>
            <w:vAlign w:val="top"/>
          </w:tcPr>
          <w:p>
            <w:pPr>
              <w:pStyle w:val="5"/>
              <w:bidi w:val="0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三十三</w:t>
            </w:r>
          </w:p>
        </w:tc>
        <w:tc>
          <w:tcPr>
            <w:tcW w:w="2147" w:type="dxa"/>
            <w:noWrap w:val="0"/>
            <w:vAlign w:val="top"/>
          </w:tcPr>
          <w:p>
            <w:pPr>
              <w:pStyle w:val="5"/>
              <w:bidi w:val="0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吉林省境内松花江、辽河等重点流域沿岸分布着一些石化、化工等产业，存在环境风险。</w:t>
            </w:r>
          </w:p>
        </w:tc>
        <w:tc>
          <w:tcPr>
            <w:tcW w:w="1942" w:type="dxa"/>
            <w:noWrap w:val="0"/>
            <w:vAlign w:val="top"/>
          </w:tcPr>
          <w:p>
            <w:pPr>
              <w:pStyle w:val="5"/>
              <w:bidi w:val="0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加强环境监管，消除环境风险。</w:t>
            </w:r>
          </w:p>
        </w:tc>
        <w:tc>
          <w:tcPr>
            <w:tcW w:w="3734" w:type="dxa"/>
            <w:noWrap w:val="0"/>
            <w:vAlign w:val="top"/>
          </w:tcPr>
          <w:p>
            <w:pPr>
              <w:pStyle w:val="5"/>
              <w:bidi w:val="0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1.组织开展全区重点流域沿岸石化、化工等企业安全生产隐患排查，梳理风险隐患，完善应急预案及防控措施。同时，聘请专家对企业进行安全隐患摸排，提升企业安全管理能力，降低事故风险。（应急管理局）</w:t>
            </w:r>
          </w:p>
          <w:p>
            <w:pPr>
              <w:pStyle w:val="5"/>
              <w:bidi w:val="0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2.对石化、化工等行业建立动态监管清单，实施清单化管理，确保重点企业监管全覆盖、不留死角。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生态环境分局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）</w:t>
            </w:r>
          </w:p>
          <w:p>
            <w:pPr>
              <w:pStyle w:val="5"/>
              <w:bidi w:val="0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3.对辽河流域沿岸分布的石化、化工企业应急预案进行备案。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生态环境分局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）</w:t>
            </w:r>
          </w:p>
          <w:p>
            <w:pPr>
              <w:pStyle w:val="5"/>
              <w:bidi w:val="0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4.结合日常监管和群众信访举报，加大环境执法检查排查，严厉打击环境违法行为，消除环境隐患。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生态环境分局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）</w:t>
            </w:r>
          </w:p>
          <w:p>
            <w:pPr>
              <w:pStyle w:val="5"/>
              <w:bidi w:val="0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5.加强石化、化工行业企业监管，避免发生较大安全事故。（应急管理局）</w:t>
            </w:r>
          </w:p>
        </w:tc>
        <w:tc>
          <w:tcPr>
            <w:tcW w:w="4108" w:type="dxa"/>
            <w:noWrap w:val="0"/>
            <w:vAlign w:val="top"/>
          </w:tcPr>
          <w:p>
            <w:pPr>
              <w:pStyle w:val="5"/>
              <w:numPr>
                <w:ilvl w:val="0"/>
                <w:numId w:val="1"/>
              </w:numPr>
              <w:bidi w:val="0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对辖区内石化、化工等行业进行摸排，铁东区共有2家企业并制定辖区内《危险化学品企业专项应急预案》。</w:t>
            </w:r>
          </w:p>
          <w:p>
            <w:pPr>
              <w:pStyle w:val="5"/>
              <w:numPr>
                <w:ilvl w:val="0"/>
                <w:numId w:val="1"/>
              </w:numPr>
              <w:bidi w:val="0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对石化、化工等行业建立动态监管清单，实施清单化管理，经查，铁东区共有2家企业列入管控清单。</w:t>
            </w:r>
          </w:p>
          <w:p>
            <w:pPr>
              <w:pStyle w:val="5"/>
              <w:numPr>
                <w:ilvl w:val="0"/>
                <w:numId w:val="1"/>
              </w:numPr>
              <w:bidi w:val="0"/>
              <w:ind w:left="0" w:leftChars="0" w:firstLine="0" w:firstLineChars="0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对辽河流域沿岸分布的石化、化工企业建立管控清单，对2家企业应急预案进行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了备案。</w:t>
            </w:r>
          </w:p>
          <w:p>
            <w:pPr>
              <w:pStyle w:val="5"/>
              <w:numPr>
                <w:ilvl w:val="0"/>
                <w:numId w:val="0"/>
              </w:numPr>
              <w:bidi w:val="0"/>
              <w:ind w:leftChars="0"/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4、日常监管和环境信访未发现石化、化工行业存在环境违法行为。</w:t>
            </w:r>
          </w:p>
          <w:p>
            <w:pPr>
              <w:pStyle w:val="5"/>
              <w:bidi w:val="0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>5、对相关企业进行安全检查，组织企业进行综合应急演练活动并制定《综合事故应急演练方案》，建立制定《重大危险源自查隐患清单》、《重大危险源自查隐患整改计划表》、《重大危险源自查隐患整改方案》</w:t>
            </w:r>
          </w:p>
        </w:tc>
        <w:tc>
          <w:tcPr>
            <w:tcW w:w="1145" w:type="dxa"/>
            <w:noWrap w:val="0"/>
            <w:vAlign w:val="top"/>
          </w:tcPr>
          <w:p>
            <w:pPr>
              <w:pStyle w:val="5"/>
              <w:bidi w:val="0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</w:p>
        </w:tc>
      </w:tr>
    </w:tbl>
    <w:p/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9D5693C"/>
    <w:multiLevelType w:val="singleLevel"/>
    <w:tmpl w:val="C9D5693C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Q5YzU5MDU4M2YxNzYxYTRmZjQwNDNhMDcyOTJhOWYifQ=="/>
  </w:docVars>
  <w:rsids>
    <w:rsidRoot w:val="497156C1"/>
    <w:rsid w:val="0B166C6B"/>
    <w:rsid w:val="166B0468"/>
    <w:rsid w:val="1A2B7F5D"/>
    <w:rsid w:val="39CB3E0B"/>
    <w:rsid w:val="47370652"/>
    <w:rsid w:val="497156C1"/>
    <w:rsid w:val="4F3452B4"/>
    <w:rsid w:val="52505342"/>
    <w:rsid w:val="57D53DA1"/>
    <w:rsid w:val="59A36929"/>
    <w:rsid w:val="71076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left="0" w:leftChars="0" w:firstLine="420" w:firstLineChars="200"/>
    </w:pPr>
  </w:style>
  <w:style w:type="paragraph" w:styleId="3">
    <w:name w:val="Body Text Indent"/>
    <w:basedOn w:val="1"/>
    <w:next w:val="4"/>
    <w:qFormat/>
    <w:uiPriority w:val="0"/>
    <w:pPr>
      <w:spacing w:after="120"/>
      <w:ind w:left="420" w:leftChars="200"/>
    </w:pPr>
  </w:style>
  <w:style w:type="paragraph" w:styleId="4">
    <w:name w:val="Normal Indent"/>
    <w:basedOn w:val="1"/>
    <w:qFormat/>
    <w:uiPriority w:val="99"/>
    <w:pPr>
      <w:ind w:firstLine="420" w:firstLineChars="200"/>
    </w:pPr>
    <w:rPr>
      <w:rFonts w:ascii="Calibri" w:hAnsi="Calibri" w:eastAsia="Calibri" w:cs="Times New Roman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6">
    <w:name w:val="Body Text 2"/>
    <w:basedOn w:val="1"/>
    <w:qFormat/>
    <w:uiPriority w:val="0"/>
    <w:pPr>
      <w:spacing w:after="120" w:afterLines="0" w:line="480" w:lineRule="auto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651</Words>
  <Characters>656</Characters>
  <Lines>0</Lines>
  <Paragraphs>0</Paragraphs>
  <TotalTime>0</TotalTime>
  <ScaleCrop>false</ScaleCrop>
  <LinksUpToDate>false</LinksUpToDate>
  <CharactersWithSpaces>656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2019-12-06T00:47:00Z</dcterms:created>
  <dc:creator>%E8%94%93</dc:creator>
  <cp:lastModifiedBy>%E8%94%93</cp:lastModifiedBy>
  <dcterms:modified xsi:type="dcterms:W3CDTF">2022-08-29T07:41:28Z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BD91C367C02C4156A563D4690ECD999E</vt:lpwstr>
  </property>
</Properties>
</file>