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eastAsia" w:ascii="方正小标宋简体" w:hAnsi="楷体" w:eastAsia="方正小标宋简体"/>
          <w:sz w:val="44"/>
          <w:szCs w:val="44"/>
        </w:rPr>
      </w:pPr>
    </w:p>
    <w:p>
      <w:pPr>
        <w:spacing w:line="576" w:lineRule="exact"/>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铁</w:t>
      </w:r>
      <w:r>
        <w:rPr>
          <w:rFonts w:hint="eastAsia" w:ascii="宋体" w:hAnsi="宋体" w:eastAsia="宋体" w:cs="宋体"/>
          <w:b/>
          <w:bCs/>
          <w:sz w:val="44"/>
          <w:szCs w:val="44"/>
          <w:lang w:eastAsia="zh-CN"/>
        </w:rPr>
        <w:t>东</w:t>
      </w:r>
      <w:r>
        <w:rPr>
          <w:rFonts w:hint="eastAsia" w:ascii="宋体" w:hAnsi="宋体" w:eastAsia="宋体" w:cs="宋体"/>
          <w:b/>
          <w:bCs/>
          <w:sz w:val="44"/>
          <w:szCs w:val="44"/>
        </w:rPr>
        <w:t>区防范化解有关领域</w:t>
      </w:r>
    </w:p>
    <w:p>
      <w:pPr>
        <w:spacing w:line="576" w:lineRule="exact"/>
        <w:jc w:val="center"/>
        <w:rPr>
          <w:rFonts w:hint="eastAsia" w:ascii="宋体" w:hAnsi="宋体" w:eastAsia="宋体" w:cs="宋体"/>
          <w:b/>
          <w:bCs/>
          <w:sz w:val="44"/>
          <w:szCs w:val="44"/>
        </w:rPr>
      </w:pPr>
      <w:r>
        <w:rPr>
          <w:rFonts w:hint="eastAsia" w:ascii="宋体" w:hAnsi="宋体" w:eastAsia="宋体" w:cs="宋体"/>
          <w:b/>
          <w:bCs/>
          <w:sz w:val="44"/>
          <w:szCs w:val="44"/>
        </w:rPr>
        <w:t>重大风险专项整治工作实施方案</w:t>
      </w:r>
    </w:p>
    <w:bookmarkEnd w:id="0"/>
    <w:p>
      <w:pPr>
        <w:spacing w:line="576" w:lineRule="exact"/>
        <w:rPr>
          <w:rFonts w:hint="eastAsia" w:ascii="仿宋_GB2312" w:hAnsi="仿宋" w:eastAsia="仿宋_GB2312"/>
          <w:sz w:val="44"/>
          <w:szCs w:val="44"/>
        </w:rPr>
      </w:pP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不忘初心、牢记使命”主题教育部署和《关于在“不忘初心、牢记使命”主题教育中开展专项整治的工作方案》与结合上级相关部门要求,现就专项整治防范化解金融领域风险、地方政府债务风险、财政“三保”支出风险、养老保险金穿透风险、应急安全风险问题,制定本实施方案。</w:t>
      </w:r>
    </w:p>
    <w:p>
      <w:pPr>
        <w:spacing w:line="576" w:lineRule="exact"/>
        <w:ind w:firstLine="640" w:firstLineChars="200"/>
        <w:rPr>
          <w:rFonts w:hint="eastAsia" w:ascii="黑体" w:hAnsi="黑体" w:eastAsia="黑体"/>
          <w:sz w:val="32"/>
          <w:szCs w:val="32"/>
        </w:rPr>
      </w:pPr>
      <w:r>
        <w:rPr>
          <w:rFonts w:hint="eastAsia" w:ascii="黑体" w:hAnsi="黑体" w:eastAsia="黑体"/>
          <w:sz w:val="32"/>
          <w:szCs w:val="32"/>
        </w:rPr>
        <w:t>一、目标原则</w:t>
      </w:r>
    </w:p>
    <w:p>
      <w:pPr>
        <w:spacing w:line="576"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(一)坚持稳中求进。</w:t>
      </w:r>
      <w:r>
        <w:rPr>
          <w:rFonts w:hint="eastAsia" w:ascii="楷体_GB2312" w:hAnsi="仿宋" w:eastAsia="楷体_GB2312"/>
          <w:sz w:val="32"/>
          <w:szCs w:val="32"/>
        </w:rPr>
        <w:t xml:space="preserve"> </w:t>
      </w:r>
      <w:r>
        <w:rPr>
          <w:rFonts w:hint="eastAsia" w:ascii="仿宋_GB2312" w:hAnsi="仿宋" w:eastAsia="仿宋_GB2312"/>
          <w:sz w:val="32"/>
          <w:szCs w:val="32"/>
        </w:rPr>
        <w:t>做到稳字当头,以稳保进、以进促稳,以化解风险推动振兴发展,在发展中化解风险、解决问题、补足短板,夯实振兴发展基础。</w:t>
      </w:r>
    </w:p>
    <w:p>
      <w:pPr>
        <w:spacing w:line="576" w:lineRule="exact"/>
        <w:ind w:firstLine="640" w:firstLineChars="200"/>
        <w:rPr>
          <w:rFonts w:hint="eastAsia" w:ascii="仿宋_GB2312" w:hAnsi="楷体" w:eastAsia="仿宋_GB2312"/>
          <w:sz w:val="32"/>
          <w:szCs w:val="32"/>
        </w:rPr>
      </w:pPr>
      <w:r>
        <w:rPr>
          <w:rFonts w:hint="eastAsia" w:ascii="楷体_GB2312" w:hAnsi="楷体" w:eastAsia="楷体_GB2312"/>
          <w:sz w:val="32"/>
          <w:szCs w:val="32"/>
        </w:rPr>
        <w:t>(二)坚持改革开放创新。</w:t>
      </w:r>
      <w:r>
        <w:rPr>
          <w:rFonts w:hint="eastAsia" w:ascii="仿宋_GB2312" w:hAnsi="仿宋" w:eastAsia="仿宋_GB2312"/>
          <w:sz w:val="32"/>
          <w:szCs w:val="32"/>
        </w:rPr>
        <w:t>用改革的办法、开放的思路、创新的手段解决新旧矛盾、化解潜在风险,促进风险矛盾向好的趋势转化。</w:t>
      </w:r>
    </w:p>
    <w:p>
      <w:pPr>
        <w:spacing w:line="576"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(三)坚持以人民为中心。</w:t>
      </w:r>
      <w:r>
        <w:rPr>
          <w:rFonts w:hint="eastAsia" w:ascii="仿宋_GB2312" w:hAnsi="楷体" w:eastAsia="仿宋_GB2312"/>
          <w:sz w:val="32"/>
          <w:szCs w:val="32"/>
        </w:rPr>
        <w:t xml:space="preserve"> </w:t>
      </w:r>
      <w:r>
        <w:rPr>
          <w:rFonts w:hint="eastAsia" w:ascii="仿宋_GB2312" w:hAnsi="仿宋" w:eastAsia="仿宋_GB2312"/>
          <w:sz w:val="32"/>
          <w:szCs w:val="32"/>
        </w:rPr>
        <w:t>将依靠人民、服务人民作为防范化解重大风险的出发点和落脚点,不断增强群众的获得感、幸福感、安全感。</w:t>
      </w:r>
    </w:p>
    <w:p>
      <w:pPr>
        <w:spacing w:line="576"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(四)坚持法治化、市场化处置方式。</w:t>
      </w:r>
      <w:r>
        <w:rPr>
          <w:rFonts w:hint="eastAsia" w:ascii="仿宋_GB2312" w:hAnsi="仿宋" w:eastAsia="仿宋_GB2312"/>
          <w:sz w:val="32"/>
          <w:szCs w:val="32"/>
        </w:rPr>
        <w:t>精准拆弹、有效排雷,不因处置风险而引发新的风险。</w:t>
      </w:r>
    </w:p>
    <w:p>
      <w:pPr>
        <w:spacing w:line="576" w:lineRule="exact"/>
        <w:ind w:firstLine="800" w:firstLineChars="250"/>
        <w:rPr>
          <w:rFonts w:hint="eastAsia" w:ascii="黑体" w:hAnsi="黑体" w:eastAsia="黑体"/>
          <w:sz w:val="32"/>
          <w:szCs w:val="32"/>
        </w:rPr>
      </w:pPr>
      <w:r>
        <w:rPr>
          <w:rFonts w:hint="eastAsia" w:ascii="黑体" w:hAnsi="黑体" w:eastAsia="黑体"/>
          <w:sz w:val="32"/>
          <w:szCs w:val="32"/>
        </w:rPr>
        <w:t>二、整治项目及分工</w:t>
      </w:r>
    </w:p>
    <w:p>
      <w:pPr>
        <w:spacing w:line="576"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(一)聚焦防范化解金融领域风险。</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着力解决当前防范化解金融风险工作中相关各方责任不清、防处措施不足问题；解决人民群众金融风险意识不足、容易上当受骗问题。(</w:t>
      </w:r>
      <w:r>
        <w:rPr>
          <w:rFonts w:hint="eastAsia" w:ascii="仿宋_GB2312" w:hAnsi="楷体" w:eastAsia="仿宋_GB2312"/>
          <w:sz w:val="32"/>
          <w:szCs w:val="32"/>
        </w:rPr>
        <w:t>牵头单位：区</w:t>
      </w:r>
      <w:r>
        <w:rPr>
          <w:rFonts w:hint="eastAsia" w:ascii="仿宋_GB2312" w:hAnsi="楷体" w:eastAsia="仿宋_GB2312"/>
          <w:sz w:val="32"/>
          <w:szCs w:val="32"/>
          <w:lang w:eastAsia="zh-CN"/>
        </w:rPr>
        <w:t>金融办</w:t>
      </w:r>
      <w:r>
        <w:rPr>
          <w:rFonts w:hint="eastAsia" w:ascii="仿宋_GB2312" w:hAnsi="仿宋" w:eastAsia="仿宋_GB2312"/>
          <w:sz w:val="32"/>
          <w:szCs w:val="32"/>
        </w:rPr>
        <w:t>)</w:t>
      </w:r>
    </w:p>
    <w:p>
      <w:pPr>
        <w:spacing w:line="576"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(二)聚焦防范化解地方政府债务风险。</w:t>
      </w:r>
    </w:p>
    <w:p>
      <w:pPr>
        <w:spacing w:line="576" w:lineRule="exact"/>
        <w:ind w:firstLine="640" w:firstLineChars="200"/>
        <w:rPr>
          <w:rFonts w:hint="eastAsia" w:ascii="仿宋_GB2312" w:hAnsi="仿宋" w:eastAsia="仿宋_GB2312"/>
          <w:sz w:val="32"/>
          <w:szCs w:val="32"/>
        </w:rPr>
      </w:pPr>
      <w:r>
        <w:rPr>
          <w:rFonts w:hint="eastAsia" w:ascii="仿宋_GB2312" w:eastAsia="仿宋_GB2312"/>
          <w:sz w:val="32"/>
          <w:szCs w:val="32"/>
        </w:rPr>
        <w:t>进一步完善地方建设项目和资金管理,有效管控金融“闸门”,从严整治地方举债乱象,坚决遏制隐性债务增量,稳妥化解隐性债务存量。</w:t>
      </w:r>
      <w:r>
        <w:rPr>
          <w:rFonts w:hint="eastAsia" w:ascii="仿宋_GB2312" w:hAnsi="仿宋" w:eastAsia="仿宋_GB2312"/>
          <w:sz w:val="32"/>
          <w:szCs w:val="32"/>
        </w:rPr>
        <w:t>(</w:t>
      </w:r>
      <w:r>
        <w:rPr>
          <w:rFonts w:hint="eastAsia" w:ascii="仿宋_GB2312" w:hAnsi="楷体" w:eastAsia="仿宋_GB2312"/>
          <w:sz w:val="32"/>
          <w:szCs w:val="32"/>
        </w:rPr>
        <w:t>牵头单位：区财政局</w:t>
      </w:r>
      <w:r>
        <w:rPr>
          <w:rFonts w:hint="eastAsia" w:ascii="仿宋_GB2312" w:hAnsi="仿宋" w:eastAsia="仿宋_GB2312"/>
          <w:sz w:val="32"/>
          <w:szCs w:val="32"/>
        </w:rPr>
        <w:t>)</w:t>
      </w:r>
    </w:p>
    <w:p>
      <w:pPr>
        <w:spacing w:line="576"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(三)聚焦防范化解财政“三保”支出风险。</w:t>
      </w:r>
    </w:p>
    <w:p>
      <w:pPr>
        <w:spacing w:line="576"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建立“三保”预算安排事前审核和备案工作机制,坚持国家标准“三保”支出优先的原则,确保年初预算足额安排；严格“三保”预算执行约束,加强库款管理保障“三保”正常支付,建立“定期报告十重点关注”执行监控机制；加强“三保”特别是工资发放资金保障风险评估研判,研究制定应急处置办法,及时妥善处置“三保”风险事件。(</w:t>
      </w:r>
      <w:r>
        <w:rPr>
          <w:rFonts w:hint="eastAsia" w:ascii="仿宋_GB2312" w:hAnsi="楷体" w:eastAsia="仿宋_GB2312"/>
          <w:sz w:val="32"/>
          <w:szCs w:val="32"/>
        </w:rPr>
        <w:t>牵头单位:区财政局</w:t>
      </w:r>
      <w:r>
        <w:rPr>
          <w:rFonts w:hint="eastAsia" w:ascii="仿宋_GB2312" w:hAnsi="仿宋" w:eastAsia="仿宋_GB2312"/>
          <w:sz w:val="32"/>
          <w:szCs w:val="32"/>
        </w:rPr>
        <w:t>)</w:t>
      </w:r>
    </w:p>
    <w:p>
      <w:pPr>
        <w:spacing w:line="576"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(四)聚焦养老保险金穿透风险。</w:t>
      </w:r>
    </w:p>
    <w:p>
      <w:pPr>
        <w:spacing w:line="576" w:lineRule="exact"/>
        <w:ind w:firstLine="640" w:firstLineChars="200"/>
        <w:rPr>
          <w:rFonts w:hint="eastAsia" w:ascii="仿宋_GB2312" w:hAnsi="楷体" w:eastAsia="仿宋_GB2312"/>
          <w:sz w:val="32"/>
          <w:szCs w:val="32"/>
        </w:rPr>
      </w:pPr>
      <w:r>
        <w:rPr>
          <w:rFonts w:hint="eastAsia" w:ascii="仿宋_GB2312" w:hAnsi="仿宋" w:eastAsia="仿宋_GB2312"/>
          <w:sz w:val="32"/>
          <w:szCs w:val="32"/>
        </w:rPr>
        <w:t>持续性开展社会养老保险扩面征缴政策法规宣传，进一步提高群众知晓率和参与率，做到符合参保条件城乡居民应参尽参、应保尽保。积极组织乡、街道、社区、村社会养老保险经办人员集中培训，提升相关工作人员业务水平。(</w:t>
      </w:r>
      <w:r>
        <w:rPr>
          <w:rFonts w:hint="eastAsia" w:ascii="仿宋_GB2312" w:hAnsi="楷体" w:eastAsia="仿宋_GB2312"/>
          <w:sz w:val="32"/>
          <w:szCs w:val="32"/>
        </w:rPr>
        <w:t>牵头单位:区人社局</w:t>
      </w:r>
      <w:r>
        <w:rPr>
          <w:rFonts w:hint="eastAsia" w:ascii="仿宋_GB2312" w:hAnsi="仿宋" w:eastAsia="仿宋_GB2312"/>
          <w:sz w:val="32"/>
          <w:szCs w:val="32"/>
        </w:rPr>
        <w:t>)</w:t>
      </w:r>
    </w:p>
    <w:p>
      <w:pPr>
        <w:spacing w:line="576"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(五)聚焦应急安全风险。</w:t>
      </w:r>
    </w:p>
    <w:p>
      <w:pPr>
        <w:spacing w:line="576" w:lineRule="exact"/>
        <w:ind w:firstLine="640" w:firstLineChars="200"/>
        <w:rPr>
          <w:rFonts w:hint="eastAsia" w:ascii="仿宋_GB2312" w:hAnsi="楷体" w:eastAsia="仿宋_GB2312"/>
          <w:sz w:val="32"/>
          <w:szCs w:val="32"/>
        </w:rPr>
      </w:pPr>
      <w:r>
        <w:rPr>
          <w:rFonts w:hint="eastAsia" w:ascii="仿宋_GB2312" w:hAnsi="仿宋" w:eastAsia="仿宋_GB2312" w:cs="仿宋_GB2312"/>
          <w:sz w:val="32"/>
          <w:szCs w:val="32"/>
        </w:rPr>
        <w:t>重大安全风险隐患管控危险化学品行业领域；烟花爆竹行业行业领域；工贸行业领域。</w:t>
      </w:r>
      <w:r>
        <w:rPr>
          <w:rFonts w:hint="eastAsia" w:ascii="仿宋_GB2312" w:hAnsi="仿宋" w:eastAsia="仿宋_GB2312"/>
          <w:sz w:val="32"/>
          <w:szCs w:val="32"/>
        </w:rPr>
        <w:t>突出危化品生产企业和重大危险源经营企业,强化专家指导和执法检查,紧紧盯住已发现隐患问题整改销号,持续推进企业安全风险研判承诺和公告制度实施。(</w:t>
      </w:r>
      <w:r>
        <w:rPr>
          <w:rFonts w:hint="eastAsia" w:ascii="仿宋_GB2312" w:hAnsi="楷体" w:eastAsia="仿宋_GB2312"/>
          <w:sz w:val="32"/>
          <w:szCs w:val="32"/>
        </w:rPr>
        <w:t>牵头单位:区应急管理局</w:t>
      </w:r>
      <w:r>
        <w:rPr>
          <w:rFonts w:hint="eastAsia" w:ascii="仿宋_GB2312" w:hAnsi="仿宋" w:eastAsia="仿宋_GB2312"/>
          <w:sz w:val="32"/>
          <w:szCs w:val="32"/>
        </w:rPr>
        <w:t>)</w:t>
      </w:r>
    </w:p>
    <w:p>
      <w:pPr>
        <w:spacing w:line="576" w:lineRule="exact"/>
        <w:ind w:firstLine="640" w:firstLineChars="200"/>
        <w:rPr>
          <w:rFonts w:hint="eastAsia" w:ascii="黑体" w:hAnsi="黑体" w:eastAsia="黑体"/>
          <w:sz w:val="32"/>
          <w:szCs w:val="32"/>
        </w:rPr>
      </w:pPr>
      <w:r>
        <w:rPr>
          <w:rFonts w:hint="eastAsia" w:ascii="黑体" w:hAnsi="黑体" w:eastAsia="黑体"/>
          <w:sz w:val="32"/>
          <w:szCs w:val="32"/>
        </w:rPr>
        <w:t>三、工作步骤</w:t>
      </w:r>
    </w:p>
    <w:p>
      <w:pPr>
        <w:spacing w:line="576"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(一)全面排查重大风险隐患。</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标对表习近平总书记在省部级主要领导干部坚持底线思维着力防范化解重大风险专题研讨班开班式上重要讲话精神,严格以政策为依据,以法律为准绳,对全省防范化解金融风险、地方政府债务风险、财政“三保”支出风险、养老保险金穿透风险、应急安全风险进行全面摸排,摸清现状、查找问题、分析原因,确保对职责范围内的问题了然于胸。</w:t>
      </w:r>
    </w:p>
    <w:p>
      <w:pPr>
        <w:spacing w:line="576"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(二)明确责任、制定清单。</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区</w:t>
      </w:r>
      <w:r>
        <w:rPr>
          <w:rFonts w:hint="eastAsia" w:ascii="仿宋_GB2312" w:hAnsi="仿宋" w:eastAsia="仿宋_GB2312"/>
          <w:sz w:val="32"/>
          <w:szCs w:val="32"/>
          <w:lang w:eastAsia="zh-CN"/>
        </w:rPr>
        <w:t>金融办</w:t>
      </w:r>
      <w:r>
        <w:rPr>
          <w:rFonts w:hint="eastAsia" w:ascii="仿宋_GB2312" w:hAnsi="仿宋" w:eastAsia="仿宋_GB2312"/>
          <w:sz w:val="32"/>
          <w:szCs w:val="32"/>
        </w:rPr>
        <w:t>会同有关部门负责防范化解金融风险整治工作;区财政局牵头负责地方政府债务风险和财政“三保”支出风险整治</w:t>
      </w:r>
      <w:r>
        <w:rPr>
          <w:rFonts w:hint="eastAsia" w:ascii="仿宋_GB2312" w:hAnsi="仿宋" w:eastAsia="仿宋_GB2312"/>
          <w:sz w:val="32"/>
          <w:szCs w:val="32"/>
          <w:lang w:eastAsia="zh-CN"/>
        </w:rPr>
        <w:t>工</w:t>
      </w:r>
      <w:r>
        <w:rPr>
          <w:rFonts w:hint="eastAsia" w:ascii="仿宋_GB2312" w:hAnsi="仿宋" w:eastAsia="仿宋_GB2312"/>
          <w:sz w:val="32"/>
          <w:szCs w:val="32"/>
        </w:rPr>
        <w:t>作;区人社局配合上级部门负责养老保险金穿透风险整治工作;区应急管理局牵头负责应急安全风险整治工作;各责任单位对查找出来的问题进行梳理汇总，制定风险项目清单。</w:t>
      </w:r>
    </w:p>
    <w:p>
      <w:pPr>
        <w:spacing w:line="576"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(三)深入整改。</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加强整改工作统筹调度，推动相关责任部门要对照风险清单逐一制定本部门、本单位整改方案，明确责任主体，研究提出应对举措，设定完成时限，逐项落实风险化降工作。</w:t>
      </w:r>
    </w:p>
    <w:p>
      <w:pPr>
        <w:spacing w:line="576" w:lineRule="exact"/>
        <w:ind w:firstLine="640" w:firstLineChars="200"/>
        <w:rPr>
          <w:rFonts w:hint="eastAsia" w:ascii="黑体" w:hAnsi="黑体" w:eastAsia="黑体"/>
          <w:sz w:val="32"/>
          <w:szCs w:val="32"/>
        </w:rPr>
      </w:pPr>
      <w:r>
        <w:rPr>
          <w:rFonts w:hint="eastAsia" w:ascii="黑体" w:hAnsi="黑体" w:eastAsia="黑体"/>
          <w:sz w:val="32"/>
          <w:szCs w:val="32"/>
        </w:rPr>
        <w:t>四、工作要求</w:t>
      </w:r>
    </w:p>
    <w:p>
      <w:pPr>
        <w:spacing w:line="576"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(一)</w:t>
      </w:r>
      <w:r>
        <w:rPr>
          <w:rFonts w:hint="eastAsia" w:ascii="楷体_GB2312" w:hAnsi="楷体" w:eastAsia="楷体_GB2312"/>
          <w:sz w:val="32"/>
          <w:szCs w:val="32"/>
        </w:rPr>
        <w:t>提高政治站位，增强政治</w:t>
      </w:r>
      <w:r>
        <w:rPr>
          <w:rFonts w:hint="eastAsia" w:ascii="楷体_GB2312" w:hAnsi="仿宋_GB2312" w:eastAsia="楷体_GB2312" w:cs="仿宋_GB2312"/>
          <w:sz w:val="32"/>
          <w:szCs w:val="32"/>
        </w:rPr>
        <w:t>担当。</w:t>
      </w:r>
      <w:r>
        <w:rPr>
          <w:rFonts w:hint="eastAsia" w:ascii="仿宋_GB2312" w:hAnsi="仿宋" w:eastAsia="仿宋_GB2312"/>
          <w:sz w:val="32"/>
          <w:szCs w:val="32"/>
        </w:rPr>
        <w:t>各部门要深刻认识到本次专项整治所涉问题是关系人民群众切身利益的重大风险问题，必须以彻底的自我革命精神加以解决，切实把抓好专项整治作方增强“四个意识”、坚定“四个自信”、做到“两个维护”的直接检验，作为主题教育的重要抓手，以强烈的政治担当、坚决的斗争精神全过程抓紧抓实，真刀真枪解决问题。各责任部门主要负责同志，要担起专项整治第一责任人的政治责任，对本部门专项整治工作负总责，从政治和全局的高度认识专项整治的重要意义，增强思想自觉、政治自觉和行动自觉，确保专项整治任务取得扎实成效。</w:t>
      </w:r>
    </w:p>
    <w:p>
      <w:pPr>
        <w:spacing w:line="576"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(二)密切协作配合，实施项目管理。</w:t>
      </w:r>
      <w:r>
        <w:rPr>
          <w:rFonts w:hint="eastAsia" w:ascii="仿宋_GB2312" w:hAnsi="仿宋" w:eastAsia="仿宋_GB2312"/>
          <w:sz w:val="32"/>
          <w:szCs w:val="32"/>
        </w:rPr>
        <w:t>建立政府办公室牵头、整治项目负责单位作为成员单位的专项整治工作机制。政府办公室加强统筹协调、健全工作机制，会同各成员单位共同细化整治项目、明确预期成果、</w:t>
      </w:r>
      <w:r>
        <w:rPr>
          <w:rFonts w:hint="eastAsia" w:ascii="仿宋_GB2312" w:hAnsi="仿宋" w:eastAsia="仿宋_GB2312"/>
          <w:sz w:val="32"/>
          <w:szCs w:val="32"/>
          <w:lang w:eastAsia="zh-CN"/>
        </w:rPr>
        <w:t>狠</w:t>
      </w:r>
      <w:r>
        <w:rPr>
          <w:rFonts w:hint="eastAsia" w:ascii="仿宋_GB2312" w:hAnsi="仿宋" w:eastAsia="仿宋_GB2312"/>
          <w:sz w:val="32"/>
          <w:szCs w:val="32"/>
        </w:rPr>
        <w:t>抓工作落实。各项目牵头和参与单位立足职责定位，认真谋划调度，主动协作配合，积极推进专项整治。各项目牵头单位会同项目参与单位共同明确项目的具体内容、目标要求、工作措施、进度安排、责任单位和责任人、评估标准等要素，加强调度检</w:t>
      </w:r>
      <w:r>
        <w:rPr>
          <w:rFonts w:hint="eastAsia" w:ascii="宋体" w:hAnsi="宋体" w:cs="宋体"/>
          <w:sz w:val="32"/>
          <w:szCs w:val="32"/>
        </w:rPr>
        <w:t>査</w:t>
      </w:r>
      <w:r>
        <w:rPr>
          <w:rFonts w:hint="eastAsia" w:ascii="仿宋_GB2312" w:hAnsi="仿宋_GB2312" w:eastAsia="仿宋_GB2312" w:cs="仿宋_GB2312"/>
          <w:sz w:val="32"/>
          <w:szCs w:val="32"/>
        </w:rPr>
        <w:t>和政策指导，强化过程管理，有序推进落实，并对整治效果作出定量和定性评估。适时对专项整治情况进行“回头看”，巩固和深化整治成效。</w:t>
      </w:r>
    </w:p>
    <w:p>
      <w:pPr>
        <w:spacing w:line="576"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(三)坚持开门搞整治，强化监督检查。</w:t>
      </w:r>
      <w:r>
        <w:rPr>
          <w:rFonts w:hint="eastAsia" w:ascii="仿宋_GB2312" w:hAnsi="仿宋" w:eastAsia="仿宋_GB2312"/>
          <w:sz w:val="32"/>
          <w:szCs w:val="32"/>
        </w:rPr>
        <w:t>广泛向群众公示整治项目、通告工作进展、公布整治成果，整治内容直面群众关切，整治过程邀请群众参与，整治结果接受群众评判。各整治项目牵头单位采取多种形式听取群众的意见建议，主动接爱群众监督，为群众提供方便快捷的监督举报和反映问题途径，充分发挥群众监督和社会监督的作用。</w:t>
      </w:r>
    </w:p>
    <w:p>
      <w:pPr>
        <w:spacing w:line="576" w:lineRule="exact"/>
        <w:ind w:firstLine="640" w:firstLineChars="200"/>
        <w:rPr>
          <w:rFonts w:hint="eastAsia" w:ascii="仿宋_GB2312" w:hAnsi="仿宋" w:eastAsia="仿宋_GB2312"/>
          <w:sz w:val="32"/>
          <w:szCs w:val="32"/>
        </w:rPr>
      </w:pPr>
      <w:r>
        <w:rPr>
          <w:rFonts w:hint="eastAsia" w:ascii="楷体_GB2312" w:hAnsi="楷体" w:eastAsia="楷体_GB2312"/>
          <w:sz w:val="32"/>
          <w:szCs w:val="32"/>
        </w:rPr>
        <w:t>(四)加强宣传引导，强化信息沟通。</w:t>
      </w:r>
      <w:r>
        <w:rPr>
          <w:rFonts w:hint="eastAsia" w:ascii="仿宋_GB2312" w:hAnsi="仿宋" w:eastAsia="仿宋_GB2312"/>
          <w:sz w:val="32"/>
          <w:szCs w:val="32"/>
        </w:rPr>
        <w:t>充分运用现有宣传果道，注重发挥新媒体作用，加强新闻宣传，正确引导奥论，营造良好社会氛围。发挥正反典型的导向作用，及时发现和推广专项整治的好做法好经验，指导推动工作;通报曝光典型问题，强化警示震慑。</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067F6"/>
    <w:rsid w:val="02575093"/>
    <w:rsid w:val="039C6E37"/>
    <w:rsid w:val="046A2562"/>
    <w:rsid w:val="0A5258A0"/>
    <w:rsid w:val="0CBD0507"/>
    <w:rsid w:val="0D387192"/>
    <w:rsid w:val="20FF28CD"/>
    <w:rsid w:val="21445754"/>
    <w:rsid w:val="239F4229"/>
    <w:rsid w:val="2BE13E0D"/>
    <w:rsid w:val="37520979"/>
    <w:rsid w:val="3BBC77B7"/>
    <w:rsid w:val="45740826"/>
    <w:rsid w:val="54E1547E"/>
    <w:rsid w:val="58E067F6"/>
    <w:rsid w:val="6B4572EB"/>
    <w:rsid w:val="6D535020"/>
    <w:rsid w:val="735B6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90422SE\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2019-11-04T02:56:00Z</dcterms:created>
  <dc:creator>Administrator</dc:creator>
  <cp:lastModifiedBy>Administrator</cp:lastModifiedBy>
  <cp:lastPrinted>2019-11-04T04:38:00Z</cp:lastPrinted>
  <dcterms:modified xsi:type="dcterms:W3CDTF">2019-11-20T06:29:17Z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