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tabs>
          <w:tab w:val="left" w:pos="3055"/>
        </w:tabs>
        <w:spacing w:before="0" w:beforeAutospacing="0" w:after="0" w:afterAutospacing="0"/>
        <w:jc w:val="center"/>
        <w:rPr>
          <w:rFonts w:cs="Times New Roman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  <w:lang w:eastAsia="zh-CN"/>
        </w:rPr>
        <w:t>四平市铁东区</w:t>
      </w:r>
      <w:r>
        <w:rPr>
          <w:rFonts w:hint="eastAsia"/>
          <w:b/>
          <w:bCs/>
          <w:color w:val="000000"/>
          <w:sz w:val="44"/>
          <w:szCs w:val="44"/>
        </w:rPr>
        <w:t>财政</w:t>
      </w:r>
      <w:r>
        <w:rPr>
          <w:rFonts w:hint="eastAsia"/>
          <w:b/>
          <w:bCs/>
          <w:color w:val="000000"/>
          <w:sz w:val="44"/>
          <w:szCs w:val="44"/>
          <w:lang w:eastAsia="zh-CN"/>
        </w:rPr>
        <w:t>局</w:t>
      </w:r>
      <w:r>
        <w:rPr>
          <w:rFonts w:hint="eastAsia"/>
          <w:b/>
          <w:bCs/>
          <w:color w:val="000000"/>
          <w:sz w:val="44"/>
          <w:szCs w:val="44"/>
        </w:rPr>
        <w:t>重大行政执法决定法制审核流程图</w:t>
      </w:r>
    </w:p>
    <w:p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流程图: 过程 2" o:spid="_x0000_s1027" type="#_x0000_t109" style="position:absolute;left:0;margin-left:124.5pt;margin-top:92.7pt;height:218.4pt;width:31.5pt;rotation:0f;z-index:251659264;" o:ole="f" fillcolor="#FFFFFF" filled="t" o:preferrelative="t" stroked="t" coordorigin="0,0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ind w:firstLine="157" w:firstLineChars="49"/>
                    <w:rPr>
                      <w:rFonts w:cs="Times New Roman"/>
                      <w:b/>
                      <w:bCs/>
                      <w:sz w:val="32"/>
                      <w:szCs w:val="32"/>
                    </w:rPr>
                  </w:pPr>
                </w:p>
                <w:p>
                  <w:pPr>
                    <w:rPr>
                      <w:rFonts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 w:cs="宋体"/>
                      <w:b/>
                      <w:bCs/>
                      <w:sz w:val="32"/>
                      <w:szCs w:val="32"/>
                    </w:rPr>
                    <w:t>承</w:t>
                  </w:r>
                </w:p>
                <w:p>
                  <w:pPr>
                    <w:rPr>
                      <w:rFonts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 w:cs="宋体"/>
                      <w:b/>
                      <w:bCs/>
                      <w:sz w:val="32"/>
                      <w:szCs w:val="32"/>
                    </w:rPr>
                    <w:t>办</w:t>
                  </w:r>
                </w:p>
                <w:p>
                  <w:pPr>
                    <w:rPr>
                      <w:rFonts w:hint="eastAsia" w:eastAsia="宋体" w:cs="Times New Roman"/>
                      <w:b/>
                      <w:bCs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cs="Times New Roman"/>
                      <w:b/>
                      <w:bCs/>
                      <w:sz w:val="32"/>
                      <w:szCs w:val="32"/>
                      <w:lang w:val="en-US" w:eastAsia="zh-CN"/>
                    </w:rPr>
                    <w:t>科</w:t>
                  </w:r>
                </w:p>
                <w:p>
                  <w:pPr>
                    <w:rPr>
                      <w:rFonts w:hint="eastAsia" w:cs="Times New Roman"/>
                      <w:b/>
                      <w:bCs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 w:cs="Times New Roman"/>
                      <w:b/>
                      <w:bCs/>
                      <w:sz w:val="32"/>
                      <w:szCs w:val="32"/>
                      <w:lang w:eastAsia="zh-CN"/>
                    </w:rPr>
                    <w:t>室</w:t>
                  </w:r>
                </w:p>
              </w:txbxContent>
            </v:textbox>
          </v:shape>
        </w:pict>
      </w: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流程图: 可选过程 1" o:spid="_x0000_s1028" type="#_x0000_t176" style="position:absolute;left:0;margin-left:-22.5pt;margin-top:29.55pt;height:362.7pt;width:133.5pt;rotation:0f;z-index:251658240;" o:ole="f" fillcolor="#FFFFFF" filled="t" o:preferrelative="t" stroked="t" coordorigin="0,0" coordsize="21600,21600" adj="27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4"/>
                    <w:spacing w:before="0" w:beforeAutospacing="0" w:after="0" w:afterAutospacing="0" w:line="300" w:lineRule="exact"/>
                    <w:ind w:firstLine="271" w:firstLineChars="150"/>
                    <w:rPr>
                      <w:rFonts w:hint="eastAsia" w:ascii="仿宋_GB2312" w:hAnsi="仿宋_GB2312" w:eastAsia="仿宋_GB2312" w:cs="仿宋_GB2312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sz w:val="18"/>
                      <w:szCs w:val="18"/>
                    </w:rPr>
                    <w:t>法制审核范围：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我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局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对下列重大执法决定进行法制审核：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>
                  <w:pPr>
                    <w:spacing w:line="300" w:lineRule="exact"/>
                    <w:ind w:firstLine="360" w:firstLineChars="200"/>
                    <w:rPr>
                      <w:rFonts w:hint="eastAsia" w:ascii="仿宋_GB2312" w:hAnsi="仿宋_GB2312" w:eastAsia="仿宋_GB2312" w:cs="仿宋_GB2312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8"/>
                      <w:szCs w:val="18"/>
                    </w:rPr>
                    <w:t>（一）可能造成重大社会影响或引起社会风险的；</w:t>
                  </w:r>
                </w:p>
                <w:p>
                  <w:pPr>
                    <w:spacing w:line="300" w:lineRule="exact"/>
                    <w:ind w:firstLine="360" w:firstLineChars="200"/>
                    <w:rPr>
                      <w:rFonts w:hint="eastAsia" w:ascii="仿宋_GB2312" w:hAnsi="仿宋_GB2312" w:eastAsia="仿宋_GB2312" w:cs="仿宋_GB2312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8"/>
                      <w:szCs w:val="18"/>
                    </w:rPr>
                    <w:t>（二）直接关系行政管理相对人或他人重大权益的；</w:t>
                  </w:r>
                </w:p>
                <w:p>
                  <w:pPr>
                    <w:spacing w:line="300" w:lineRule="exact"/>
                    <w:ind w:firstLine="360" w:firstLineChars="200"/>
                    <w:rPr>
                      <w:rFonts w:hint="eastAsia" w:ascii="仿宋_GB2312" w:hAnsi="仿宋_GB2312" w:eastAsia="仿宋_GB2312" w:cs="仿宋_GB2312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8"/>
                      <w:szCs w:val="18"/>
                    </w:rPr>
                    <w:t>（三）财政政策实施和执行中产生重大影响的；</w:t>
                  </w:r>
                </w:p>
                <w:p>
                  <w:pPr>
                    <w:spacing w:line="300" w:lineRule="exact"/>
                    <w:ind w:firstLine="360" w:firstLineChars="200"/>
                    <w:rPr>
                      <w:rFonts w:hint="eastAsia" w:ascii="仿宋_GB2312" w:hAnsi="仿宋_GB2312" w:eastAsia="仿宋_GB2312" w:cs="仿宋_GB2312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8"/>
                      <w:szCs w:val="18"/>
                    </w:rPr>
                    <w:t>（四）应当告知当事人听证权利的行政处罚的；</w:t>
                  </w:r>
                </w:p>
                <w:p>
                  <w:pPr>
                    <w:spacing w:line="300" w:lineRule="exact"/>
                    <w:ind w:firstLine="360" w:firstLineChars="200"/>
                    <w:rPr>
                      <w:rFonts w:hint="eastAsia" w:ascii="仿宋_GB2312" w:hAnsi="仿宋_GB2312" w:eastAsia="仿宋_GB2312" w:cs="仿宋_GB2312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8"/>
                      <w:szCs w:val="18"/>
                    </w:rPr>
                    <w:t>（五）财政涉法案件疑难复杂，涉及多个法律关系的；</w:t>
                  </w:r>
                </w:p>
                <w:p>
                  <w:pPr>
                    <w:spacing w:line="300" w:lineRule="exact"/>
                    <w:ind w:firstLine="360" w:firstLineChars="200"/>
                    <w:rPr>
                      <w:rFonts w:hint="eastAsia" w:ascii="仿宋_GB2312" w:hAnsi="仿宋_GB2312" w:eastAsia="仿宋_GB2312" w:cs="仿宋_GB2312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8"/>
                      <w:szCs w:val="18"/>
                    </w:rPr>
                    <w:t>（六）其他经集体讨论认为需要进行法制审核的；</w:t>
                  </w:r>
                </w:p>
                <w:p>
                  <w:pPr>
                    <w:spacing w:line="300" w:lineRule="exact"/>
                    <w:ind w:firstLine="360" w:firstLineChars="200"/>
                    <w:rPr>
                      <w:rFonts w:hint="eastAsia" w:ascii="仿宋_GB2312" w:hAnsi="仿宋_GB2312" w:eastAsia="仿宋_GB2312" w:cs="仿宋_GB2312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8"/>
                      <w:szCs w:val="18"/>
                    </w:rPr>
                    <w:t>（七）其他法律、法规、规章规定应当进行法制审核的。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kern w:val="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流程图: 过程 19" o:spid="_x0000_s1029" type="#_x0000_t109" style="position:absolute;left:0;margin-left:570pt;margin-top:92.4pt;height:218.4pt;width:31.5pt;rotation:0f;z-index:251669504;" o:ole="f" fillcolor="#FFFFFF" filled="t" o:preferrelative="t" stroked="t" coordorigin="0,0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cs="Times New Roman"/>
                      <w:b/>
                      <w:bCs/>
                      <w:sz w:val="32"/>
                      <w:szCs w:val="32"/>
                    </w:rPr>
                  </w:pPr>
                </w:p>
                <w:p>
                  <w:pPr>
                    <w:rPr>
                      <w:rFonts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 w:cs="宋体"/>
                      <w:b/>
                      <w:bCs/>
                      <w:sz w:val="32"/>
                      <w:szCs w:val="32"/>
                    </w:rPr>
                    <w:t>承</w:t>
                  </w:r>
                </w:p>
                <w:p>
                  <w:pPr>
                    <w:rPr>
                      <w:rFonts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 w:cs="宋体"/>
                      <w:b/>
                      <w:bCs/>
                      <w:sz w:val="32"/>
                      <w:szCs w:val="32"/>
                    </w:rPr>
                    <w:t>办</w:t>
                  </w:r>
                </w:p>
                <w:p>
                  <w:pPr>
                    <w:rPr>
                      <w:rFonts w:hint="eastAsia" w:cs="Times New Roman"/>
                      <w:b/>
                      <w:bCs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 w:cs="Times New Roman"/>
                      <w:b/>
                      <w:bCs/>
                      <w:sz w:val="32"/>
                      <w:szCs w:val="32"/>
                      <w:lang w:eastAsia="zh-CN"/>
                    </w:rPr>
                    <w:t>科</w:t>
                  </w:r>
                </w:p>
                <w:p>
                  <w:pPr>
                    <w:rPr>
                      <w:rFonts w:hint="eastAsia" w:cs="Times New Roman"/>
                      <w:b/>
                      <w:bCs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 w:cs="Times New Roman"/>
                      <w:b/>
                      <w:bCs/>
                      <w:sz w:val="32"/>
                      <w:szCs w:val="32"/>
                      <w:lang w:eastAsia="zh-CN"/>
                    </w:rPr>
                    <w:t>室</w:t>
                  </w:r>
                </w:p>
              </w:txbxContent>
            </v:textbox>
          </v:shape>
        </w:pict>
      </w:r>
    </w:p>
    <w:p/>
    <w:p>
      <w:pPr>
        <w:tabs>
          <w:tab w:val="left" w:pos="4530"/>
        </w:tabs>
        <w:ind w:firstLine="3780" w:firstLineChars="1800"/>
        <w:rPr>
          <w:sz w:val="24"/>
          <w:szCs w:val="24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流程图: 可选过程 20" o:spid="_x0000_s1030" type="#_x0000_t176" style="position:absolute;left:0;margin-left:617.95pt;margin-top:7.35pt;height:358.8pt;width:119.25pt;rotation:0f;z-index:251670528;" o:ole="f" fillcolor="#FFFFFF" filled="t" o:preferrelative="t" stroked="t" coordorigin="0,0" coordsize="21600,21600" adj="27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4"/>
                    <w:spacing w:before="0" w:beforeAutospacing="0" w:after="0" w:afterAutospacing="0"/>
                    <w:ind w:firstLine="361" w:firstLineChars="200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sz w:val="18"/>
                      <w:szCs w:val="18"/>
                    </w:rPr>
                    <w:t>采纳：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承办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科室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应当充分研究法制审核意见和建议，根据情况对拟作出的重大行政执法决定进行修改。</w:t>
                  </w:r>
                </w:p>
                <w:p>
                  <w:pPr>
                    <w:pStyle w:val="4"/>
                    <w:spacing w:before="0" w:beforeAutospacing="0" w:after="0" w:afterAutospacing="0"/>
                    <w:ind w:firstLine="361" w:firstLineChars="200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sz w:val="18"/>
                      <w:szCs w:val="18"/>
                    </w:rPr>
                    <w:t>决定：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重大行政执法决定经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法制科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审核同意，由承办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科室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提交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局长办公会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集体讨论。法制审核意见与拟处理意见不一致的，提交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局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领导裁决或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局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长办公会集体讨论决定。</w:t>
                  </w:r>
                </w:p>
                <w:p>
                  <w:pPr>
                    <w:pStyle w:val="4"/>
                    <w:spacing w:before="0" w:beforeAutospacing="0" w:after="0" w:afterAutospacing="0"/>
                    <w:ind w:firstLine="361" w:firstLineChars="200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sz w:val="18"/>
                      <w:szCs w:val="18"/>
                    </w:rPr>
                    <w:t>执行：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重大行政执法决定作出后，由承办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科室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负责执行并做好立卷归档工作。</w:t>
                  </w:r>
                </w:p>
                <w:p>
                  <w:pPr>
                    <w:pStyle w:val="4"/>
                    <w:spacing w:before="0" w:beforeAutospacing="0" w:after="0" w:afterAutospacing="0"/>
                    <w:ind w:firstLine="361" w:firstLineChars="200"/>
                    <w:rPr>
                      <w:rFonts w:hint="eastAsia" w:ascii="仿宋_GB2312" w:hAnsi="仿宋_GB2312" w:eastAsia="仿宋_GB2312" w:cs="仿宋_GB2312"/>
                      <w:b/>
                      <w:sz w:val="18"/>
                      <w:szCs w:val="18"/>
                    </w:rPr>
                  </w:pPr>
                </w:p>
                <w:p>
                  <w:pPr>
                    <w:pStyle w:val="4"/>
                    <w:spacing w:before="0" w:beforeAutospacing="0" w:after="0" w:afterAutospacing="0"/>
                    <w:ind w:firstLine="361" w:firstLineChars="200"/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sz w:val="18"/>
                      <w:szCs w:val="18"/>
                    </w:rPr>
                    <w:t>备案：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18"/>
                      <w:szCs w:val="18"/>
                      <w:lang w:eastAsia="zh-CN"/>
                    </w:rPr>
                    <w:t>重大行政处罚，应当自决定印发之日起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18"/>
                      <w:szCs w:val="18"/>
                      <w:lang w:val="en-US" w:eastAsia="zh-CN"/>
                    </w:rPr>
                    <w:t>3日内向法制科备案。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</w:t>
                  </w:r>
                </w:p>
              </w:txbxContent>
            </v:textbox>
          </v:shape>
        </w:pic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报法制机构主管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24"/>
          <w:szCs w:val="24"/>
        </w:rPr>
        <w:t>领导审批</w:t>
      </w:r>
    </w:p>
    <w:p>
      <w:pPr>
        <w:rPr>
          <w:sz w:val="30"/>
          <w:szCs w:val="30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直接箭头连接符 16" o:spid="_x0000_s1031" type="#_x0000_t32" style="position:absolute;left:0;margin-left:401.25pt;margin-top:8.2pt;height:0.05pt;width:151.5pt;rotation:0f;z-index:251667456;" o:ole="f" fillcolor="#FFFFFF" filled="t" o:preferrelative="t" stroked="t" coordorigin="0,0" coordsize="21600,21600"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流程图: 可选过程 14" o:spid="_x0000_s1032" type="#_x0000_t176" style="position:absolute;left:0;margin-left:396.75pt;margin-top:24pt;height:144pt;width:162.75pt;rotation:0f;z-index:251665408;" o:ole="f" fillcolor="#FFFFFF" filled="t" o:preferrelative="t" stroked="t" coordorigin="0,0" coordsize="21600,21600" adj="27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ind w:firstLine="361" w:firstLineChars="200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sz w:val="18"/>
                      <w:szCs w:val="18"/>
                    </w:rPr>
                    <w:t>审核时间：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根据《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四平市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财政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局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重大行政执法决定法制审核办法》第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九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条规定，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法制科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在收到送审材料后，应在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五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个工作日内审核完毕；特殊情况经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局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长批准，可以延长五个工作日。此期限不含补充材料、调查取证、专家论证、提请解释等期间。</w:t>
                  </w:r>
                </w:p>
                <w:p>
                  <w:pPr>
                    <w:pStyle w:val="4"/>
                    <w:spacing w:before="0" w:beforeAutospacing="0" w:after="0" w:afterAutospacing="0"/>
                    <w:rPr>
                      <w:rFonts w:hint="eastAsia" w:ascii="仿宋_GB2312" w:hAnsi="仿宋_GB2312" w:eastAsia="仿宋_GB2312" w:cs="仿宋_GB2312"/>
                    </w:rPr>
                  </w:pPr>
                </w:p>
              </w:txbxContent>
            </v:textbox>
          </v:shape>
        </w:pict>
      </w:r>
      <w:r>
        <w:rPr>
          <w:rFonts w:ascii="Calibri" w:hAnsi="Calibri" w:eastAsia="宋体" w:cs="黑体"/>
          <w:kern w:val="2"/>
          <w:sz w:val="30"/>
          <w:szCs w:val="30"/>
          <w:lang w:val="en-US" w:eastAsia="zh-CN" w:bidi="ar-SA"/>
        </w:rPr>
        <w:pict>
          <v:shape id="流程图: 可选过程 3" o:spid="_x0000_s1033" type="#_x0000_t176" style="position:absolute;left:0;margin-left:167.25pt;margin-top:24pt;height:144pt;width:177.75pt;rotation:0f;z-index:251660288;" o:ole="f" fillcolor="#FFFFFF" filled="t" o:preferrelative="t" stroked="t" coordorigin="0,0" coordsize="21600,21600" adj="27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300" w:lineRule="exact"/>
                    <w:ind w:firstLine="361" w:firstLineChars="200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sz w:val="18"/>
                      <w:szCs w:val="18"/>
                    </w:rPr>
                    <w:t>送审时间：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根据《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四平市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财政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局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重大行政执法决定法制审核办法》第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val="en-US" w:eastAsia="zh-CN"/>
                    </w:rPr>
                    <w:t>七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条规定，拟作出的重大行政执法决定报送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局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领导签发前，承办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科室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应当送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法制科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法制审核。需要征求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局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内其他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科室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、单位或者其他部门意见的，承办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科室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应当将征求意见，意见采纳和协调情况在送审前予以说明。</w:t>
                  </w:r>
                </w:p>
                <w:p>
                  <w:pPr>
                    <w:pStyle w:val="4"/>
                    <w:spacing w:before="0" w:beforeAutospacing="0" w:after="0" w:afterAutospacing="0"/>
                    <w:jc w:val="both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</w:rPr>
                  </w:pPr>
                </w:p>
              </w:txbxContent>
            </v:textbox>
          </v:shape>
        </w:pict>
      </w:r>
    </w:p>
    <w:p>
      <w:pPr>
        <w:rPr>
          <w:sz w:val="30"/>
          <w:szCs w:val="30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流程图: 过程 8" o:spid="_x0000_s1034" type="#_x0000_t109" style="position:absolute;left:0;margin-left:356.25pt;margin-top:14.4pt;height:218.4pt;width:31.5pt;rotation:0f;z-index:251664384;" o:ole="f" fillcolor="#FFFFFF" filled="t" o:preferrelative="t" stroked="t" coordorigin="0,0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cs="Times New Roman"/>
                      <w:b/>
                      <w:bCs/>
                      <w:sz w:val="32"/>
                      <w:szCs w:val="32"/>
                    </w:rPr>
                  </w:pPr>
                </w:p>
                <w:p>
                  <w:pPr>
                    <w:rPr>
                      <w:rFonts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 w:cs="宋体"/>
                      <w:b/>
                      <w:bCs/>
                      <w:sz w:val="32"/>
                      <w:szCs w:val="32"/>
                    </w:rPr>
                    <w:t>法制机构</w:t>
                  </w:r>
                </w:p>
              </w:txbxContent>
            </v:textbox>
          </v:shape>
        </w:pic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直接箭头连接符 22" o:spid="_x0000_s1035" type="#_x0000_t32" style="position:absolute;left:0;margin-left:601.5pt;margin-top:6.45pt;height:0.05pt;width:16.5pt;rotation:0f;z-index:251671552;" o:ole="f" fillcolor="#FFFFFF" filled="t" o:preferrelative="t" stroked="t" coordorigin="0,0" coordsize="21600,21600"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tabs>
          <w:tab w:val="left" w:pos="3795"/>
        </w:tabs>
        <w:spacing w:line="400" w:lineRule="exact"/>
        <w:rPr>
          <w:sz w:val="30"/>
          <w:szCs w:val="30"/>
        </w:rPr>
      </w:pPr>
      <w:r>
        <w:rPr>
          <w:sz w:val="30"/>
          <w:szCs w:val="30"/>
        </w:rPr>
        <w:tab/>
      </w:r>
    </w:p>
    <w:p>
      <w:pPr>
        <w:tabs>
          <w:tab w:val="left" w:pos="3795"/>
        </w:tabs>
        <w:spacing w:line="400" w:lineRule="exact"/>
        <w:ind w:firstLine="3600" w:firstLineChars="1200"/>
        <w:rPr>
          <w:sz w:val="24"/>
          <w:szCs w:val="24"/>
        </w:rPr>
      </w:pPr>
      <w:r>
        <w:rPr>
          <w:rFonts w:ascii="Calibri" w:hAnsi="Calibri" w:eastAsia="宋体" w:cs="黑体"/>
          <w:kern w:val="2"/>
          <w:sz w:val="30"/>
          <w:szCs w:val="30"/>
          <w:lang w:val="en-US" w:eastAsia="zh-CN" w:bidi="ar-SA"/>
        </w:rPr>
        <w:pict>
          <v:shape id="直接箭头连接符 5" o:spid="_x0000_s1036" type="#_x0000_t32" style="position:absolute;left:0;margin-left:177pt;margin-top:4.75pt;height:0.05pt;width:160.5pt;rotation:0f;z-index:251661312;" o:ole="f" fillcolor="#FFFFFF" filled="t" o:preferrelative="t" stroked="t" coordorigin="0,0" coordsize="21600,21600"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直接箭头连接符 17" o:spid="_x0000_s1037" type="#_x0000_t32" style="position:absolute;left:0;margin-left:401.25pt;margin-top:4.75pt;height:0.05pt;width:147pt;rotation:0f;z-index:251668480;" o:ole="f" fillcolor="#FFFFFF" filled="t" o:preferrelative="t" stroked="t" coordorigin="0,0" coordsize="21600,21600"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tabs>
          <w:tab w:val="left" w:pos="3795"/>
        </w:tabs>
        <w:spacing w:line="400" w:lineRule="exact"/>
        <w:ind w:firstLine="3720" w:firstLineChars="1550"/>
        <w:rPr>
          <w:rFonts w:hint="eastAsia" w:ascii="仿宋_GB2312" w:hAnsi="仿宋_GB2312" w:eastAsia="仿宋_GB2312" w:cs="仿宋_GB2312"/>
          <w:sz w:val="24"/>
          <w:szCs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提交相关材料及重大行政执法             法制审核的主要内容</w:t>
      </w:r>
    </w:p>
    <w:p>
      <w:pPr>
        <w:tabs>
          <w:tab w:val="left" w:pos="3795"/>
        </w:tabs>
        <w:spacing w:line="40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决定                             决定意见建议及情况说明            审查意见反馈以及执法建议</w:t>
      </w:r>
    </w:p>
    <w:p>
      <w:pPr>
        <w:tabs>
          <w:tab w:val="left" w:pos="3795"/>
        </w:tabs>
        <w:rPr>
          <w:sz w:val="30"/>
          <w:szCs w:val="30"/>
        </w:rPr>
      </w:pPr>
      <w:r>
        <w:rPr>
          <w:rFonts w:ascii="Calibri" w:hAnsi="Calibri" w:eastAsia="宋体" w:cs="黑体"/>
          <w:kern w:val="2"/>
          <w:sz w:val="24"/>
          <w:szCs w:val="24"/>
          <w:lang w:val="en-US" w:eastAsia="zh-CN" w:bidi="ar-SA"/>
        </w:rPr>
        <w:pict>
          <v:shape id="直接箭头连接符 6" o:spid="_x0000_s1038" type="#_x0000_t32" style="position:absolute;left:0;flip:x;margin-left:177pt;margin-top:7pt;height:0.05pt;width:160.5pt;rotation:0f;z-index:251662336;" o:ole="f" fillcolor="#FFFFFF" filled="t" o:preferrelative="t" stroked="t" coordorigin="0,0" coordsize="21600,21600"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流程图: 可选过程 15" o:spid="_x0000_s1039" type="#_x0000_t176" style="position:absolute;left:0;margin-left:397.5pt;margin-top:21.25pt;height:93pt;width:162pt;rotation:0f;z-index:251666432;" o:ole="f" fillcolor="#FFFFFF" filled="t" o:preferrelative="t" stroked="t" coordorigin="0,0" coordsize="21600,21600" adj="27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ind w:firstLine="361" w:firstLineChars="200"/>
                    <w:rPr>
                      <w:rFonts w:hint="eastAsia" w:ascii="仿宋_GB2312" w:hAnsi="仿宋_GB2312" w:eastAsia="仿宋_GB2312" w:cs="仿宋_GB2312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sz w:val="18"/>
                      <w:szCs w:val="18"/>
                    </w:rPr>
                    <w:t>审核方式：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法制审核以书面审核为主；可以向当事人进行调查取证，召开专家论证会、听证会或者进行社会风险评估。承办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科室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应当予以协助配合。</w:t>
                  </w:r>
                </w:p>
              </w:txbxContent>
            </v:textbox>
          </v:shape>
        </w:pict>
      </w: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直接箭头连接符 23" o:spid="_x0000_s1040" type="#_x0000_t32" style="position:absolute;left:0;margin-left:401.25pt;margin-top:7pt;height:0.05pt;width:147pt;rotation:0f;z-index:251672576;" o:ole="f" fillcolor="#FFFFFF" filled="t" o:preferrelative="t" stroked="t" coordorigin="0,0" coordsize="21600,21600"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流程图: 可选过程 7" o:spid="_x0000_s1041" type="#_x0000_t176" style="position:absolute;left:0;margin-left:171pt;margin-top:21.25pt;height:93pt;width:166.5pt;rotation:0f;z-index:251663360;" o:ole="f" fillcolor="#FFFFFF" filled="t" o:preferrelative="t" stroked="t" coordorigin="0,0" coordsize="21600,21600" adj="27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4"/>
                    <w:spacing w:before="0" w:beforeAutospacing="0" w:after="0" w:afterAutospacing="0"/>
                    <w:ind w:firstLine="361" w:firstLineChars="200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sz w:val="18"/>
                      <w:szCs w:val="18"/>
                    </w:rPr>
                    <w:t>补充材料：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在审核过程中，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法制科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认为材料不全的，可以要求承办单位予以补充。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</w:rPr>
                  </w:pPr>
                </w:p>
              </w:txbxContent>
            </v:textbox>
          </v:shape>
        </w:pict>
      </w:r>
      <w:r>
        <w:rPr>
          <w:rFonts w:hint="eastAsia"/>
          <w:sz w:val="30"/>
          <w:szCs w:val="30"/>
        </w:rPr>
        <w:t xml:space="preserve">                   </w:t>
      </w:r>
    </w:p>
    <w:p>
      <w:pPr>
        <w:rPr>
          <w:sz w:val="30"/>
          <w:szCs w:val="30"/>
        </w:rPr>
      </w:pPr>
    </w:p>
    <w:sectPr>
      <w:headerReference r:id="rId4" w:type="default"/>
      <w:footerReference r:id="rId5" w:type="default"/>
      <w:pgSz w:w="16838" w:h="11906" w:orient="landscape"/>
      <w:pgMar w:top="1800" w:right="1440" w:bottom="1800" w:left="1440" w:header="851" w:footer="992" w:gutter="0"/>
      <w:pgNumType w:fmt="numberInDash" w:start="56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16" o:spid="_x0000_s1025" type="#_x0000_t202" style="position:absolute;left:0;margin-top:0pt;height:144pt;width:144pt;mso-position-horizontal:left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- 56 -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页眉 Char Char"/>
    <w:basedOn w:val="5"/>
    <w:link w:val="3"/>
    <w:uiPriority w:val="99"/>
    <w:rPr>
      <w:sz w:val="18"/>
      <w:szCs w:val="18"/>
    </w:rPr>
  </w:style>
  <w:style w:type="character" w:customStyle="1" w:styleId="7">
    <w:name w:val="页脚 Char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  <customShpInfo spid="_x0000_s1031" textRotate="1"/>
    <customShpInfo spid="_x0000_s1035" textRotate="1"/>
    <customShpInfo spid="_x0000_s1036" textRotate="1"/>
    <customShpInfo spid="_x0000_s1037" textRotate="1"/>
    <customShpInfo spid="_x0000_s1038" textRotate="1"/>
    <customShpInfo spid="_x0000_s104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31</Words>
  <Characters>178</Characters>
  <Lines>1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2017-05-13T23:56:00Z</dcterms:created>
  <dc:creator>guest</dc:creator>
  <cp:lastModifiedBy>Administrator</cp:lastModifiedBy>
  <cp:lastPrinted>2020-07-22T02:08:12Z</cp:lastPrinted>
  <dcterms:modified xsi:type="dcterms:W3CDTF">2020-07-22T02:09:31Z</dcterms:modified>
  <dc:title>四平市铁东区财政局重大行政执法决定法制审核流程图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