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60" w:lineRule="exact"/>
        <w:rPr>
          <w:rStyle w:val="6"/>
          <w:rFonts w:hint="eastAsia" w:ascii="仿宋" w:hAnsi="仿宋" w:eastAsia="仿宋" w:cs="仿宋"/>
          <w:sz w:val="32"/>
          <w:szCs w:val="32"/>
          <w:lang w:bidi="ar"/>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p>
    <w:p>
      <w:pPr>
        <w:wordWrap w:val="0"/>
        <w:spacing w:line="460" w:lineRule="exact"/>
        <w:jc w:val="center"/>
        <w:rPr>
          <w:rStyle w:val="6"/>
          <w:rFonts w:hint="eastAsia" w:ascii="仿宋" w:hAnsi="仿宋" w:eastAsia="仿宋" w:cs="仿宋"/>
          <w:sz w:val="32"/>
          <w:szCs w:val="32"/>
          <w:lang w:bidi="ar"/>
        </w:rPr>
      </w:pPr>
      <w:r>
        <w:rPr>
          <w:rStyle w:val="6"/>
          <w:rFonts w:hint="eastAsia" w:asciiTheme="majorEastAsia" w:hAnsiTheme="majorEastAsia" w:eastAsiaTheme="majorEastAsia" w:cstheme="majorEastAsia"/>
          <w:b/>
          <w:bCs/>
          <w:sz w:val="44"/>
          <w:szCs w:val="44"/>
          <w:lang w:val="en-US" w:eastAsia="zh-CN" w:bidi="ar"/>
        </w:rPr>
        <w:t>铁东区教育局</w:t>
      </w:r>
      <w:r>
        <w:rPr>
          <w:rStyle w:val="6"/>
          <w:rFonts w:hint="eastAsia" w:asciiTheme="majorEastAsia" w:hAnsiTheme="majorEastAsia" w:eastAsiaTheme="majorEastAsia" w:cstheme="majorEastAsia"/>
          <w:b/>
          <w:bCs/>
          <w:sz w:val="44"/>
          <w:szCs w:val="44"/>
          <w:lang w:bidi="ar"/>
        </w:rPr>
        <w:t>行政执法事项清单</w:t>
      </w:r>
    </w:p>
    <w:p>
      <w:pPr>
        <w:wordWrap w:val="0"/>
        <w:spacing w:line="460" w:lineRule="exact"/>
        <w:ind w:firstLine="420" w:firstLineChars="200"/>
        <w:rPr>
          <w:rFonts w:hint="default" w:ascii="仿宋" w:hAnsi="仿宋" w:eastAsia="仿宋" w:cs="仿宋"/>
          <w:szCs w:val="21"/>
          <w:lang w:val="en-US" w:eastAsia="zh-CN"/>
        </w:rPr>
      </w:pPr>
      <w:r>
        <w:rPr>
          <w:rFonts w:hint="eastAsia" w:ascii="宋体" w:hAnsi="宋体" w:eastAsia="宋体" w:cs="宋体"/>
          <w:sz w:val="21"/>
          <w:szCs w:val="21"/>
        </w:rPr>
        <w:t>填报单位：（公章）</w:t>
      </w:r>
      <w:r>
        <w:rPr>
          <w:rFonts w:hint="eastAsia" w:ascii="宋体" w:hAnsi="宋体" w:eastAsia="宋体" w:cs="宋体"/>
          <w:sz w:val="21"/>
          <w:szCs w:val="21"/>
          <w:lang w:val="en-US" w:eastAsia="zh-CN"/>
        </w:rPr>
        <w:t xml:space="preserve"> 四平市铁东区教育局                        联系人： 董志学                 联系电话： 15843402922         </w:t>
      </w:r>
      <w:r>
        <w:rPr>
          <w:rFonts w:hint="eastAsia" w:ascii="仿宋" w:hAnsi="仿宋" w:eastAsia="仿宋" w:cs="仿宋"/>
          <w:szCs w:val="21"/>
          <w:lang w:val="en-US" w:eastAsia="zh-CN"/>
        </w:rPr>
        <w:t xml:space="preserve">  </w:t>
      </w:r>
    </w:p>
    <w:tbl>
      <w:tblPr>
        <w:tblStyle w:val="4"/>
        <w:tblW w:w="13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99"/>
        <w:gridCol w:w="780"/>
        <w:gridCol w:w="915"/>
        <w:gridCol w:w="960"/>
        <w:gridCol w:w="2985"/>
        <w:gridCol w:w="2100"/>
        <w:gridCol w:w="960"/>
        <w:gridCol w:w="390"/>
        <w:gridCol w:w="600"/>
        <w:gridCol w:w="615"/>
        <w:gridCol w:w="58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6" w:type="dxa"/>
            <w:vMerge w:val="restart"/>
            <w:noWrap w:val="0"/>
            <w:vAlign w:val="center"/>
          </w:tcPr>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序号</w:t>
            </w:r>
          </w:p>
        </w:tc>
        <w:tc>
          <w:tcPr>
            <w:tcW w:w="899" w:type="dxa"/>
            <w:vMerge w:val="restart"/>
            <w:noWrap w:val="0"/>
            <w:vAlign w:val="center"/>
          </w:tcPr>
          <w:p>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项目</w:t>
            </w:r>
          </w:p>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名称</w:t>
            </w:r>
          </w:p>
        </w:tc>
        <w:tc>
          <w:tcPr>
            <w:tcW w:w="780" w:type="dxa"/>
            <w:vMerge w:val="restart"/>
            <w:noWrap w:val="0"/>
            <w:vAlign w:val="center"/>
          </w:tcPr>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执法类别</w:t>
            </w:r>
          </w:p>
        </w:tc>
        <w:tc>
          <w:tcPr>
            <w:tcW w:w="915" w:type="dxa"/>
            <w:vMerge w:val="restart"/>
            <w:noWrap w:val="0"/>
            <w:vAlign w:val="center"/>
          </w:tcPr>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执法主体</w:t>
            </w:r>
          </w:p>
        </w:tc>
        <w:tc>
          <w:tcPr>
            <w:tcW w:w="960" w:type="dxa"/>
            <w:vMerge w:val="restart"/>
            <w:noWrap w:val="0"/>
            <w:vAlign w:val="center"/>
          </w:tcPr>
          <w:p>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承办</w:t>
            </w:r>
          </w:p>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机构</w:t>
            </w:r>
          </w:p>
        </w:tc>
        <w:tc>
          <w:tcPr>
            <w:tcW w:w="7035" w:type="dxa"/>
            <w:gridSpan w:val="5"/>
            <w:noWrap w:val="0"/>
            <w:vAlign w:val="center"/>
          </w:tcPr>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执法依据</w:t>
            </w:r>
          </w:p>
        </w:tc>
        <w:tc>
          <w:tcPr>
            <w:tcW w:w="615" w:type="dxa"/>
            <w:vMerge w:val="restart"/>
            <w:noWrap w:val="0"/>
            <w:vAlign w:val="center"/>
          </w:tcPr>
          <w:p>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实施</w:t>
            </w:r>
          </w:p>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对象</w:t>
            </w:r>
          </w:p>
        </w:tc>
        <w:tc>
          <w:tcPr>
            <w:tcW w:w="585" w:type="dxa"/>
            <w:vMerge w:val="restart"/>
            <w:noWrap w:val="0"/>
            <w:vAlign w:val="center"/>
          </w:tcPr>
          <w:p>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办理</w:t>
            </w:r>
          </w:p>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时限</w:t>
            </w:r>
          </w:p>
        </w:tc>
        <w:tc>
          <w:tcPr>
            <w:tcW w:w="1305" w:type="dxa"/>
            <w:vMerge w:val="restart"/>
            <w:noWrap w:val="0"/>
            <w:vAlign w:val="center"/>
          </w:tcPr>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6" w:type="dxa"/>
            <w:vMerge w:val="continue"/>
            <w:noWrap w:val="0"/>
            <w:vAlign w:val="top"/>
          </w:tcPr>
          <w:p>
            <w:pPr>
              <w:wordWrap w:val="0"/>
              <w:spacing w:line="460" w:lineRule="exact"/>
              <w:rPr>
                <w:rFonts w:hint="eastAsia" w:ascii="仿宋" w:hAnsi="仿宋" w:eastAsia="仿宋" w:cs="仿宋"/>
                <w:sz w:val="28"/>
                <w:szCs w:val="28"/>
              </w:rPr>
            </w:pPr>
          </w:p>
        </w:tc>
        <w:tc>
          <w:tcPr>
            <w:tcW w:w="899" w:type="dxa"/>
            <w:vMerge w:val="continue"/>
            <w:noWrap w:val="0"/>
            <w:vAlign w:val="top"/>
          </w:tcPr>
          <w:p>
            <w:pPr>
              <w:wordWrap w:val="0"/>
              <w:spacing w:line="240" w:lineRule="exact"/>
              <w:rPr>
                <w:rFonts w:hint="eastAsia" w:ascii="仿宋" w:hAnsi="仿宋" w:eastAsia="仿宋" w:cs="仿宋"/>
                <w:sz w:val="28"/>
                <w:szCs w:val="28"/>
              </w:rPr>
            </w:pPr>
          </w:p>
        </w:tc>
        <w:tc>
          <w:tcPr>
            <w:tcW w:w="780" w:type="dxa"/>
            <w:vMerge w:val="continue"/>
            <w:noWrap w:val="0"/>
            <w:vAlign w:val="top"/>
          </w:tcPr>
          <w:p>
            <w:pPr>
              <w:wordWrap w:val="0"/>
              <w:spacing w:line="460" w:lineRule="exact"/>
              <w:rPr>
                <w:rFonts w:hint="eastAsia" w:ascii="仿宋" w:hAnsi="仿宋" w:eastAsia="仿宋" w:cs="仿宋"/>
                <w:sz w:val="28"/>
                <w:szCs w:val="28"/>
              </w:rPr>
            </w:pPr>
          </w:p>
        </w:tc>
        <w:tc>
          <w:tcPr>
            <w:tcW w:w="915" w:type="dxa"/>
            <w:vMerge w:val="continue"/>
            <w:noWrap w:val="0"/>
            <w:vAlign w:val="top"/>
          </w:tcPr>
          <w:p>
            <w:pPr>
              <w:wordWrap w:val="0"/>
              <w:spacing w:line="460" w:lineRule="exact"/>
              <w:rPr>
                <w:rFonts w:hint="eastAsia" w:ascii="仿宋" w:hAnsi="仿宋" w:eastAsia="仿宋" w:cs="仿宋"/>
                <w:sz w:val="28"/>
                <w:szCs w:val="28"/>
              </w:rPr>
            </w:pPr>
          </w:p>
        </w:tc>
        <w:tc>
          <w:tcPr>
            <w:tcW w:w="960" w:type="dxa"/>
            <w:vMerge w:val="continue"/>
            <w:noWrap w:val="0"/>
            <w:vAlign w:val="top"/>
          </w:tcPr>
          <w:p>
            <w:pPr>
              <w:wordWrap w:val="0"/>
              <w:spacing w:line="460" w:lineRule="exact"/>
              <w:rPr>
                <w:rFonts w:hint="eastAsia" w:ascii="仿宋" w:hAnsi="仿宋" w:eastAsia="仿宋" w:cs="仿宋"/>
                <w:sz w:val="28"/>
                <w:szCs w:val="28"/>
              </w:rPr>
            </w:pPr>
          </w:p>
        </w:tc>
        <w:tc>
          <w:tcPr>
            <w:tcW w:w="2985" w:type="dxa"/>
            <w:noWrap w:val="0"/>
            <w:vAlign w:val="center"/>
          </w:tcPr>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法律</w:t>
            </w:r>
          </w:p>
        </w:tc>
        <w:tc>
          <w:tcPr>
            <w:tcW w:w="2100" w:type="dxa"/>
            <w:noWrap w:val="0"/>
            <w:vAlign w:val="center"/>
          </w:tcPr>
          <w:p>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行政</w:t>
            </w:r>
          </w:p>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法规</w:t>
            </w:r>
          </w:p>
        </w:tc>
        <w:tc>
          <w:tcPr>
            <w:tcW w:w="960" w:type="dxa"/>
            <w:noWrap w:val="0"/>
            <w:vAlign w:val="center"/>
          </w:tcPr>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pacing w:val="-11"/>
                <w:sz w:val="21"/>
                <w:szCs w:val="21"/>
              </w:rPr>
              <w:t>地方性</w:t>
            </w:r>
            <w:r>
              <w:rPr>
                <w:rFonts w:hint="eastAsia" w:asciiTheme="majorEastAsia" w:hAnsiTheme="majorEastAsia" w:eastAsiaTheme="majorEastAsia" w:cstheme="majorEastAsia"/>
                <w:b/>
                <w:bCs/>
                <w:sz w:val="21"/>
                <w:szCs w:val="21"/>
              </w:rPr>
              <w:t>法规</w:t>
            </w:r>
          </w:p>
        </w:tc>
        <w:tc>
          <w:tcPr>
            <w:tcW w:w="390" w:type="dxa"/>
            <w:noWrap w:val="0"/>
            <w:vAlign w:val="center"/>
          </w:tcPr>
          <w:p>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部委</w:t>
            </w:r>
          </w:p>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规章</w:t>
            </w:r>
          </w:p>
        </w:tc>
        <w:tc>
          <w:tcPr>
            <w:tcW w:w="600" w:type="dxa"/>
            <w:noWrap w:val="0"/>
            <w:vAlign w:val="center"/>
          </w:tcPr>
          <w:p>
            <w:pPr>
              <w:wordWrap w:val="0"/>
              <w:spacing w:line="240" w:lineRule="exact"/>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rPr>
              <w:t>政府</w:t>
            </w:r>
          </w:p>
          <w:p>
            <w:pPr>
              <w:wordWrap w:val="0"/>
              <w:spacing w:line="240" w:lineRule="exact"/>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规章</w:t>
            </w:r>
          </w:p>
        </w:tc>
        <w:tc>
          <w:tcPr>
            <w:tcW w:w="615" w:type="dxa"/>
            <w:vMerge w:val="continue"/>
            <w:noWrap w:val="0"/>
            <w:vAlign w:val="top"/>
          </w:tcPr>
          <w:p>
            <w:pPr>
              <w:wordWrap w:val="0"/>
              <w:spacing w:line="460" w:lineRule="exact"/>
              <w:rPr>
                <w:rFonts w:hint="eastAsia" w:ascii="仿宋" w:hAnsi="仿宋" w:eastAsia="仿宋" w:cs="仿宋"/>
                <w:sz w:val="28"/>
                <w:szCs w:val="28"/>
              </w:rPr>
            </w:pPr>
          </w:p>
        </w:tc>
        <w:tc>
          <w:tcPr>
            <w:tcW w:w="585" w:type="dxa"/>
            <w:vMerge w:val="continue"/>
            <w:noWrap w:val="0"/>
            <w:vAlign w:val="top"/>
          </w:tcPr>
          <w:p>
            <w:pPr>
              <w:wordWrap w:val="0"/>
              <w:spacing w:line="460" w:lineRule="exact"/>
              <w:rPr>
                <w:rFonts w:hint="eastAsia" w:ascii="仿宋" w:hAnsi="仿宋" w:eastAsia="仿宋" w:cs="仿宋"/>
                <w:sz w:val="28"/>
                <w:szCs w:val="28"/>
              </w:rPr>
            </w:pPr>
          </w:p>
        </w:tc>
        <w:tc>
          <w:tcPr>
            <w:tcW w:w="1305" w:type="dxa"/>
            <w:vMerge w:val="continue"/>
            <w:noWrap w:val="0"/>
            <w:vAlign w:val="top"/>
          </w:tcPr>
          <w:p>
            <w:pPr>
              <w:wordWrap w:val="0"/>
              <w:spacing w:line="46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676" w:type="dxa"/>
            <w:noWrap w:val="0"/>
            <w:vAlign w:val="center"/>
          </w:tcPr>
          <w:p>
            <w:pPr>
              <w:wordWrap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899" w:type="dxa"/>
            <w:noWrap w:val="0"/>
            <w:vAlign w:val="center"/>
          </w:tcPr>
          <w:p>
            <w:pPr>
              <w:wordWrap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校车使用许可</w:t>
            </w:r>
          </w:p>
        </w:tc>
        <w:tc>
          <w:tcPr>
            <w:tcW w:w="780" w:type="dxa"/>
            <w:noWrap w:val="0"/>
            <w:vAlign w:val="center"/>
          </w:tcPr>
          <w:p>
            <w:pPr>
              <w:wordWrap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行政许可</w:t>
            </w:r>
          </w:p>
        </w:tc>
        <w:tc>
          <w:tcPr>
            <w:tcW w:w="915" w:type="dxa"/>
            <w:noWrap w:val="0"/>
            <w:vAlign w:val="center"/>
          </w:tcPr>
          <w:p>
            <w:pPr>
              <w:wordWrap w:val="0"/>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四平市</w:t>
            </w:r>
            <w:r>
              <w:rPr>
                <w:rFonts w:hint="eastAsia" w:ascii="宋体" w:hAnsi="宋体" w:eastAsia="宋体" w:cs="宋体"/>
                <w:sz w:val="21"/>
                <w:szCs w:val="21"/>
                <w:lang w:eastAsia="zh-CN"/>
              </w:rPr>
              <w:t>铁东区教育局</w:t>
            </w:r>
          </w:p>
        </w:tc>
        <w:tc>
          <w:tcPr>
            <w:tcW w:w="960" w:type="dxa"/>
            <w:noWrap w:val="0"/>
            <w:vAlign w:val="center"/>
          </w:tcPr>
          <w:p>
            <w:pPr>
              <w:wordWrap w:val="0"/>
              <w:spacing w:line="2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四平市铁东区教育局安全科</w:t>
            </w:r>
          </w:p>
        </w:tc>
        <w:tc>
          <w:tcPr>
            <w:tcW w:w="2985" w:type="dxa"/>
            <w:noWrap w:val="0"/>
            <w:vAlign w:val="center"/>
          </w:tcPr>
          <w:p>
            <w:pPr>
              <w:wordWrap w:val="0"/>
              <w:spacing w:line="240" w:lineRule="exact"/>
              <w:jc w:val="center"/>
              <w:rPr>
                <w:rFonts w:hint="eastAsia" w:ascii="宋体" w:hAnsi="宋体" w:eastAsia="宋体" w:cs="宋体"/>
                <w:sz w:val="21"/>
                <w:szCs w:val="21"/>
              </w:rPr>
            </w:pPr>
          </w:p>
        </w:tc>
        <w:tc>
          <w:tcPr>
            <w:tcW w:w="2100" w:type="dxa"/>
            <w:noWrap w:val="0"/>
            <w:vAlign w:val="center"/>
          </w:tcPr>
          <w:p>
            <w:pPr>
              <w:wordWrap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《校车安全管理条例》（2012年4月5日国务院令617号）</w:t>
            </w:r>
          </w:p>
        </w:tc>
        <w:tc>
          <w:tcPr>
            <w:tcW w:w="960" w:type="dxa"/>
            <w:noWrap w:val="0"/>
            <w:vAlign w:val="center"/>
          </w:tcPr>
          <w:p>
            <w:pPr>
              <w:wordWrap w:val="0"/>
              <w:spacing w:line="240" w:lineRule="exact"/>
              <w:jc w:val="center"/>
              <w:rPr>
                <w:rFonts w:hint="eastAsia" w:ascii="宋体" w:hAnsi="宋体" w:eastAsia="宋体" w:cs="宋体"/>
                <w:sz w:val="21"/>
                <w:szCs w:val="21"/>
              </w:rPr>
            </w:pPr>
          </w:p>
        </w:tc>
        <w:tc>
          <w:tcPr>
            <w:tcW w:w="390" w:type="dxa"/>
            <w:noWrap w:val="0"/>
            <w:vAlign w:val="center"/>
          </w:tcPr>
          <w:p>
            <w:pPr>
              <w:wordWrap w:val="0"/>
              <w:spacing w:line="240" w:lineRule="exact"/>
              <w:jc w:val="center"/>
              <w:rPr>
                <w:rFonts w:hint="eastAsia" w:ascii="宋体" w:hAnsi="宋体" w:eastAsia="宋体" w:cs="宋体"/>
                <w:sz w:val="21"/>
                <w:szCs w:val="21"/>
              </w:rPr>
            </w:pPr>
          </w:p>
        </w:tc>
        <w:tc>
          <w:tcPr>
            <w:tcW w:w="600" w:type="dxa"/>
            <w:noWrap w:val="0"/>
            <w:vAlign w:val="center"/>
          </w:tcPr>
          <w:p>
            <w:pPr>
              <w:wordWrap w:val="0"/>
              <w:spacing w:line="240" w:lineRule="exact"/>
              <w:jc w:val="center"/>
              <w:rPr>
                <w:rFonts w:hint="eastAsia" w:ascii="宋体" w:hAnsi="宋体" w:eastAsia="宋体" w:cs="宋体"/>
                <w:sz w:val="21"/>
                <w:szCs w:val="21"/>
              </w:rPr>
            </w:pPr>
          </w:p>
        </w:tc>
        <w:tc>
          <w:tcPr>
            <w:tcW w:w="615" w:type="dxa"/>
            <w:noWrap w:val="0"/>
            <w:vAlign w:val="center"/>
          </w:tcPr>
          <w:p>
            <w:pPr>
              <w:wordWrap w:val="0"/>
              <w:spacing w:line="240" w:lineRule="exact"/>
              <w:jc w:val="center"/>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fill="FFFFFF"/>
              </w:rPr>
              <w:t>校车服务提供者</w:t>
            </w:r>
          </w:p>
        </w:tc>
        <w:tc>
          <w:tcPr>
            <w:tcW w:w="585" w:type="dxa"/>
            <w:noWrap w:val="0"/>
            <w:vAlign w:val="center"/>
          </w:tcPr>
          <w:p>
            <w:pPr>
              <w:wordWrap w:val="0"/>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11个工作日内</w:t>
            </w:r>
          </w:p>
        </w:tc>
        <w:tc>
          <w:tcPr>
            <w:tcW w:w="1305" w:type="dxa"/>
            <w:noWrap w:val="0"/>
            <w:vAlign w:val="center"/>
          </w:tcPr>
          <w:p>
            <w:pPr>
              <w:wordWrap w:val="0"/>
              <w:spacing w:line="4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676" w:type="dxa"/>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99" w:type="dxa"/>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普惠性民办幼儿园认定</w:t>
            </w:r>
          </w:p>
        </w:tc>
        <w:tc>
          <w:tcPr>
            <w:tcW w:w="780" w:type="dxa"/>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行政确认</w:t>
            </w:r>
          </w:p>
        </w:tc>
        <w:tc>
          <w:tcPr>
            <w:tcW w:w="915" w:type="dxa"/>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四平市铁东区教育局</w:t>
            </w:r>
          </w:p>
        </w:tc>
        <w:tc>
          <w:tcPr>
            <w:tcW w:w="960" w:type="dxa"/>
            <w:shd w:val="clear" w:color="auto" w:fill="auto"/>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四平市铁东区教育局幼教科</w:t>
            </w:r>
          </w:p>
        </w:tc>
        <w:tc>
          <w:tcPr>
            <w:tcW w:w="2985" w:type="dxa"/>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c>
        <w:tc>
          <w:tcPr>
            <w:tcW w:w="2100" w:type="dxa"/>
            <w:noWrap w:val="0"/>
            <w:vAlign w:val="center"/>
          </w:tcPr>
          <w:p>
            <w:pPr>
              <w:wordWrap w:val="0"/>
              <w:spacing w:line="460" w:lineRule="exact"/>
              <w:jc w:val="center"/>
              <w:rPr>
                <w:rFonts w:hint="eastAsia" w:ascii="宋体" w:hAnsi="宋体" w:eastAsia="宋体" w:cs="宋体"/>
                <w:sz w:val="21"/>
                <w:szCs w:val="21"/>
                <w:lang w:val="en-US" w:eastAsia="zh-CN"/>
              </w:rPr>
            </w:pPr>
          </w:p>
        </w:tc>
        <w:tc>
          <w:tcPr>
            <w:tcW w:w="960" w:type="dxa"/>
            <w:noWrap w:val="0"/>
            <w:vAlign w:val="center"/>
          </w:tcPr>
          <w:p>
            <w:pPr>
              <w:wordWrap w:val="0"/>
              <w:spacing w:line="460" w:lineRule="exact"/>
              <w:jc w:val="center"/>
              <w:rPr>
                <w:rFonts w:hint="eastAsia" w:ascii="宋体" w:hAnsi="宋体" w:eastAsia="宋体" w:cs="宋体"/>
                <w:sz w:val="21"/>
                <w:szCs w:val="21"/>
                <w:lang w:val="en-US" w:eastAsia="zh-CN"/>
              </w:rPr>
            </w:pPr>
            <w:bookmarkStart w:id="0" w:name="_GoBack"/>
            <w:r>
              <w:rPr>
                <w:rFonts w:hint="eastAsia" w:ascii="宋体" w:hAnsi="宋体" w:eastAsia="宋体" w:cs="宋体"/>
                <w:color w:val="auto"/>
                <w:sz w:val="21"/>
                <w:szCs w:val="21"/>
                <w:lang w:val="en-US" w:eastAsia="zh-CN"/>
              </w:rPr>
              <w:t>《吉林省普惠性民办幼儿园认定及管理办法（试行）的通知》第二条普惠性民办幼儿园是指符合幼儿园发展布局规划，面向大众、收费合理，办园规范的民办幼儿园。第四条资质合格。第五条设置规范。第六条财务公开。第七条科学保教。第八条确保安全。第九条规划达标。第十条制度完备。第十一条依法管理。</w:t>
            </w:r>
            <w:bookmarkEnd w:id="0"/>
          </w:p>
        </w:tc>
        <w:tc>
          <w:tcPr>
            <w:tcW w:w="390" w:type="dxa"/>
            <w:noWrap w:val="0"/>
            <w:vAlign w:val="center"/>
          </w:tcPr>
          <w:p>
            <w:pPr>
              <w:wordWrap w:val="0"/>
              <w:spacing w:line="460" w:lineRule="exact"/>
              <w:jc w:val="center"/>
              <w:rPr>
                <w:rFonts w:hint="eastAsia" w:ascii="宋体" w:hAnsi="宋体" w:eastAsia="宋体" w:cs="宋体"/>
                <w:sz w:val="21"/>
                <w:szCs w:val="21"/>
                <w:lang w:val="en-US" w:eastAsia="zh-CN"/>
              </w:rPr>
            </w:pPr>
          </w:p>
        </w:tc>
        <w:tc>
          <w:tcPr>
            <w:tcW w:w="600" w:type="dxa"/>
            <w:noWrap w:val="0"/>
            <w:vAlign w:val="center"/>
          </w:tcPr>
          <w:p>
            <w:pPr>
              <w:wordWrap w:val="0"/>
              <w:spacing w:line="460" w:lineRule="exact"/>
              <w:jc w:val="center"/>
              <w:rPr>
                <w:rFonts w:hint="eastAsia" w:ascii="宋体" w:hAnsi="宋体" w:eastAsia="宋体" w:cs="宋体"/>
                <w:sz w:val="21"/>
                <w:szCs w:val="21"/>
                <w:lang w:val="en-US" w:eastAsia="zh-CN"/>
              </w:rPr>
            </w:pPr>
          </w:p>
        </w:tc>
        <w:tc>
          <w:tcPr>
            <w:tcW w:w="615" w:type="dxa"/>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法人</w:t>
            </w:r>
          </w:p>
        </w:tc>
        <w:tc>
          <w:tcPr>
            <w:tcW w:w="585" w:type="dxa"/>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申报之日起45天内</w:t>
            </w:r>
          </w:p>
        </w:tc>
        <w:tc>
          <w:tcPr>
            <w:tcW w:w="1305" w:type="dxa"/>
            <w:noWrap w:val="0"/>
            <w:vAlign w:val="center"/>
          </w:tcPr>
          <w:p>
            <w:pPr>
              <w:wordWrap w:val="0"/>
              <w:spacing w:line="46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676" w:type="dxa"/>
            <w:noWrap w:val="0"/>
            <w:vAlign w:val="center"/>
          </w:tcPr>
          <w:p>
            <w:pPr>
              <w:wordWrap w:val="0"/>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899" w:type="dxa"/>
            <w:noWrap w:val="0"/>
            <w:vAlign w:val="center"/>
          </w:tcPr>
          <w:p>
            <w:pPr>
              <w:wordWrap w:val="0"/>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rPr>
              <w:t>教师资格认定</w:t>
            </w:r>
          </w:p>
        </w:tc>
        <w:tc>
          <w:tcPr>
            <w:tcW w:w="780" w:type="dxa"/>
            <w:noWrap w:val="0"/>
            <w:vAlign w:val="center"/>
          </w:tcPr>
          <w:p>
            <w:pPr>
              <w:wordWrap w:val="0"/>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rPr>
              <w:t>行政许可</w:t>
            </w:r>
          </w:p>
        </w:tc>
        <w:tc>
          <w:tcPr>
            <w:tcW w:w="915" w:type="dxa"/>
            <w:noWrap w:val="0"/>
            <w:vAlign w:val="center"/>
          </w:tcPr>
          <w:p>
            <w:pPr>
              <w:wordWrap w:val="0"/>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rPr>
              <w:t>四平市铁东区教育局</w:t>
            </w:r>
          </w:p>
        </w:tc>
        <w:tc>
          <w:tcPr>
            <w:tcW w:w="960" w:type="dxa"/>
            <w:noWrap w:val="0"/>
            <w:vAlign w:val="center"/>
          </w:tcPr>
          <w:p>
            <w:pPr>
              <w:wordWrap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四平市铁东区教育局人事科</w:t>
            </w:r>
          </w:p>
        </w:tc>
        <w:tc>
          <w:tcPr>
            <w:tcW w:w="2985" w:type="dxa"/>
            <w:noWrap w:val="0"/>
            <w:vAlign w:val="center"/>
          </w:tcPr>
          <w:p>
            <w:pPr>
              <w:wordWrap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中华人民共和国教师法》（1993年10月31日主席令第18号，2009年8月27日予以修改）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tc>
        <w:tc>
          <w:tcPr>
            <w:tcW w:w="2100" w:type="dxa"/>
            <w:noWrap w:val="0"/>
            <w:vAlign w:val="center"/>
          </w:tcPr>
          <w:p>
            <w:pPr>
              <w:wordWrap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教师资格条例》（1995年12月12日国务院令第188号）第十三条：“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tc>
        <w:tc>
          <w:tcPr>
            <w:tcW w:w="960" w:type="dxa"/>
            <w:noWrap w:val="0"/>
            <w:vAlign w:val="center"/>
          </w:tcPr>
          <w:p>
            <w:pPr>
              <w:wordWrap w:val="0"/>
              <w:spacing w:line="460" w:lineRule="exact"/>
              <w:jc w:val="center"/>
              <w:rPr>
                <w:rFonts w:hint="eastAsia" w:ascii="宋体" w:hAnsi="宋体" w:eastAsia="宋体" w:cs="宋体"/>
                <w:sz w:val="21"/>
                <w:szCs w:val="21"/>
              </w:rPr>
            </w:pPr>
          </w:p>
        </w:tc>
        <w:tc>
          <w:tcPr>
            <w:tcW w:w="390" w:type="dxa"/>
            <w:noWrap w:val="0"/>
            <w:vAlign w:val="center"/>
          </w:tcPr>
          <w:p>
            <w:pPr>
              <w:wordWrap w:val="0"/>
              <w:spacing w:line="460" w:lineRule="exact"/>
              <w:jc w:val="center"/>
              <w:rPr>
                <w:rFonts w:hint="eastAsia" w:ascii="宋体" w:hAnsi="宋体" w:eastAsia="宋体" w:cs="宋体"/>
                <w:sz w:val="21"/>
                <w:szCs w:val="21"/>
              </w:rPr>
            </w:pPr>
          </w:p>
        </w:tc>
        <w:tc>
          <w:tcPr>
            <w:tcW w:w="600" w:type="dxa"/>
            <w:noWrap w:val="0"/>
            <w:vAlign w:val="center"/>
          </w:tcPr>
          <w:p>
            <w:pPr>
              <w:wordWrap w:val="0"/>
              <w:spacing w:line="460" w:lineRule="exact"/>
              <w:jc w:val="center"/>
              <w:rPr>
                <w:rFonts w:hint="eastAsia" w:ascii="宋体" w:hAnsi="宋体" w:eastAsia="宋体" w:cs="宋体"/>
                <w:sz w:val="21"/>
                <w:szCs w:val="21"/>
              </w:rPr>
            </w:pPr>
          </w:p>
        </w:tc>
        <w:tc>
          <w:tcPr>
            <w:tcW w:w="615" w:type="dxa"/>
            <w:noWrap w:val="0"/>
            <w:vAlign w:val="center"/>
          </w:tcPr>
          <w:p>
            <w:pPr>
              <w:wordWrap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未达到国家法定退休年龄的四平市铁东区户籍人员或持有四平市铁东区有效期内居住证的外省市户籍人员。</w:t>
            </w:r>
          </w:p>
        </w:tc>
        <w:tc>
          <w:tcPr>
            <w:tcW w:w="585" w:type="dxa"/>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30工作日</w:t>
            </w:r>
          </w:p>
        </w:tc>
        <w:tc>
          <w:tcPr>
            <w:tcW w:w="1305" w:type="dxa"/>
            <w:noWrap w:val="0"/>
            <w:vAlign w:val="center"/>
          </w:tcPr>
          <w:p>
            <w:pPr>
              <w:wordWrap w:val="0"/>
              <w:spacing w:line="4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676" w:type="dxa"/>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99" w:type="dxa"/>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实施中等及中等以下学历教育、学前教育、自学考试助学及其他文化教育的学校设立、变更和终止审批</w:t>
            </w:r>
          </w:p>
        </w:tc>
        <w:tc>
          <w:tcPr>
            <w:tcW w:w="780" w:type="dxa"/>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行政许可</w:t>
            </w:r>
          </w:p>
        </w:tc>
        <w:tc>
          <w:tcPr>
            <w:tcW w:w="915" w:type="dxa"/>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四平市铁东区教育局</w:t>
            </w:r>
          </w:p>
        </w:tc>
        <w:tc>
          <w:tcPr>
            <w:tcW w:w="960" w:type="dxa"/>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四平市铁东区教育局行政审批办公室</w:t>
            </w:r>
          </w:p>
        </w:tc>
        <w:tc>
          <w:tcPr>
            <w:tcW w:w="2985" w:type="dxa"/>
            <w:noWrap w:val="0"/>
            <w:vAlign w:val="center"/>
          </w:tcPr>
          <w:p>
            <w:pPr>
              <w:wordWrap w:val="0"/>
              <w:spacing w:line="4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教育法》（1995年3月18日主席令第45号，2015年12月27日予以修改）第十四条：“国务院和地方各级人民政府根据分级管理、分工负责的原则，领导和管理教育工作。中等及中等以下教育在国务院领导下，由地方人民政府管理。高等教育由国务院和省、自治区、直辖市人民政府管理。”第二十八条：“学校及其他教育机构的设立、变更和终止，应当按照国家有关规定办理审核、批准、注册或者备案手续。”</w:t>
            </w:r>
          </w:p>
          <w:p>
            <w:pPr>
              <w:wordWrap w:val="0"/>
              <w:spacing w:line="4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民办教育促进法》（2018修订）第八条：“县级以上地方各级人民政府教育行政部门主管本行政区域内的民办教育工作。县级以上地方各级人民政府人力资源社会保障行政部门及其他有关部门在各自的职责范围内，分别负责有关的民办教育工作。”第十一条：“设立民办学校应当符合当地教育发展的需求，具备教育法和其他有关法律、法规规定的条件。民办学校的设置标准参照同级同类公办学校的设置标准执行。”第五十三条：“民办学校的分立、合并，在进行财务清算后，由学校理事会或者董事会报审批机关批准。申请分立、合并民办学校的，审批机关应当自受理之日起三个月内以书面形式答复;其中申请分立、合并民办高等学校的，审批机关也可以自受理之日起六个月内以书面形式答复。”第五十四条：“民办学校举办者的变更，须由举办者提出，在进行财务清算后，经学校理事会或者董事会同意，报审批机关核准。”</w:t>
            </w:r>
          </w:p>
        </w:tc>
        <w:tc>
          <w:tcPr>
            <w:tcW w:w="2100" w:type="dxa"/>
            <w:noWrap w:val="0"/>
            <w:vAlign w:val="center"/>
          </w:tcPr>
          <w:p>
            <w:pPr>
              <w:wordWrap w:val="0"/>
              <w:spacing w:line="460" w:lineRule="exact"/>
              <w:jc w:val="center"/>
              <w:rPr>
                <w:rFonts w:hint="eastAsia" w:ascii="宋体" w:hAnsi="宋体" w:eastAsia="宋体" w:cs="宋体"/>
                <w:sz w:val="21"/>
                <w:szCs w:val="21"/>
                <w:lang w:val="en-US" w:eastAsia="zh-CN"/>
              </w:rPr>
            </w:pPr>
          </w:p>
        </w:tc>
        <w:tc>
          <w:tcPr>
            <w:tcW w:w="960" w:type="dxa"/>
            <w:noWrap w:val="0"/>
            <w:vAlign w:val="center"/>
          </w:tcPr>
          <w:p>
            <w:pPr>
              <w:wordWrap w:val="0"/>
              <w:spacing w:line="460" w:lineRule="exact"/>
              <w:jc w:val="center"/>
              <w:rPr>
                <w:rFonts w:hint="eastAsia" w:ascii="宋体" w:hAnsi="宋体" w:eastAsia="宋体" w:cs="宋体"/>
                <w:sz w:val="21"/>
                <w:szCs w:val="21"/>
                <w:lang w:val="en-US" w:eastAsia="zh-CN"/>
              </w:rPr>
            </w:pPr>
          </w:p>
        </w:tc>
        <w:tc>
          <w:tcPr>
            <w:tcW w:w="390" w:type="dxa"/>
            <w:noWrap w:val="0"/>
            <w:vAlign w:val="center"/>
          </w:tcPr>
          <w:p>
            <w:pPr>
              <w:wordWrap w:val="0"/>
              <w:spacing w:line="460" w:lineRule="exact"/>
              <w:jc w:val="center"/>
              <w:rPr>
                <w:rFonts w:hint="eastAsia" w:ascii="宋体" w:hAnsi="宋体" w:eastAsia="宋体" w:cs="宋体"/>
                <w:sz w:val="21"/>
                <w:szCs w:val="21"/>
                <w:lang w:val="en-US" w:eastAsia="zh-CN"/>
              </w:rPr>
            </w:pPr>
          </w:p>
        </w:tc>
        <w:tc>
          <w:tcPr>
            <w:tcW w:w="600" w:type="dxa"/>
            <w:noWrap w:val="0"/>
            <w:vAlign w:val="center"/>
          </w:tcPr>
          <w:p>
            <w:pPr>
              <w:wordWrap w:val="0"/>
              <w:spacing w:line="460" w:lineRule="exact"/>
              <w:jc w:val="center"/>
              <w:rPr>
                <w:rFonts w:hint="eastAsia" w:ascii="宋体" w:hAnsi="宋体" w:eastAsia="宋体" w:cs="宋体"/>
                <w:sz w:val="21"/>
                <w:szCs w:val="21"/>
                <w:lang w:val="en-US" w:eastAsia="zh-CN"/>
              </w:rPr>
            </w:pPr>
          </w:p>
        </w:tc>
        <w:tc>
          <w:tcPr>
            <w:tcW w:w="615" w:type="dxa"/>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公民、法人</w:t>
            </w:r>
          </w:p>
        </w:tc>
        <w:tc>
          <w:tcPr>
            <w:tcW w:w="585" w:type="dxa"/>
            <w:noWrap w:val="0"/>
            <w:vAlign w:val="center"/>
          </w:tcPr>
          <w:p>
            <w:pPr>
              <w:wordWrap w:val="0"/>
              <w:spacing w:line="46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5个工作日</w:t>
            </w:r>
          </w:p>
        </w:tc>
        <w:tc>
          <w:tcPr>
            <w:tcW w:w="1305" w:type="dxa"/>
            <w:noWrap w:val="0"/>
            <w:vAlign w:val="center"/>
          </w:tcPr>
          <w:p>
            <w:pPr>
              <w:wordWrap w:val="0"/>
              <w:spacing w:line="46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676" w:type="dxa"/>
            <w:noWrap w:val="0"/>
            <w:vAlign w:val="center"/>
          </w:tcPr>
          <w:p>
            <w:pPr>
              <w:wordWrap w:val="0"/>
              <w:spacing w:line="4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899" w:type="dxa"/>
            <w:noWrap w:val="0"/>
            <w:vAlign w:val="center"/>
          </w:tcPr>
          <w:p>
            <w:pPr>
              <w:wordWrap w:val="0"/>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对民办学校（含校外培训机构）违反办学行为的处罚</w:t>
            </w:r>
          </w:p>
        </w:tc>
        <w:tc>
          <w:tcPr>
            <w:tcW w:w="780" w:type="dxa"/>
            <w:noWrap w:val="0"/>
            <w:vAlign w:val="center"/>
          </w:tcPr>
          <w:p>
            <w:pPr>
              <w:wordWrap w:val="0"/>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行政处罚</w:t>
            </w:r>
          </w:p>
        </w:tc>
        <w:tc>
          <w:tcPr>
            <w:tcW w:w="915" w:type="dxa"/>
            <w:noWrap w:val="0"/>
            <w:vAlign w:val="center"/>
          </w:tcPr>
          <w:p>
            <w:pPr>
              <w:wordWrap w:val="0"/>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四平市铁东区教育局</w:t>
            </w:r>
          </w:p>
        </w:tc>
        <w:tc>
          <w:tcPr>
            <w:tcW w:w="960" w:type="dxa"/>
            <w:noWrap w:val="0"/>
            <w:vAlign w:val="center"/>
          </w:tcPr>
          <w:p>
            <w:pPr>
              <w:wordWrap w:val="0"/>
              <w:spacing w:line="4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四平市铁东区教育局行政审批办公室</w:t>
            </w:r>
          </w:p>
        </w:tc>
        <w:tc>
          <w:tcPr>
            <w:tcW w:w="2985" w:type="dxa"/>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《中华人民共和国民办教育促进法》第62条；《校外培训行政处罚暂行办法》第6条；《校外培训行政处罚暂行办法》第8条</w:t>
            </w:r>
          </w:p>
          <w:p>
            <w:pPr>
              <w:wordWrap w:val="0"/>
              <w:spacing w:line="460" w:lineRule="exact"/>
              <w:jc w:val="center"/>
              <w:rPr>
                <w:rFonts w:hint="eastAsia" w:ascii="宋体" w:hAnsi="宋体" w:eastAsia="宋体" w:cs="宋体"/>
                <w:sz w:val="21"/>
                <w:szCs w:val="21"/>
              </w:rPr>
            </w:pPr>
          </w:p>
        </w:tc>
        <w:tc>
          <w:tcPr>
            <w:tcW w:w="2100" w:type="dxa"/>
            <w:noWrap w:val="0"/>
            <w:vAlign w:val="center"/>
          </w:tcPr>
          <w:p>
            <w:pPr>
              <w:wordWrap w:val="0"/>
              <w:spacing w:line="460" w:lineRule="exact"/>
              <w:jc w:val="center"/>
              <w:rPr>
                <w:rFonts w:hint="eastAsia" w:ascii="宋体" w:hAnsi="宋体" w:eastAsia="宋体" w:cs="宋体"/>
                <w:sz w:val="21"/>
                <w:szCs w:val="21"/>
              </w:rPr>
            </w:pPr>
          </w:p>
        </w:tc>
        <w:tc>
          <w:tcPr>
            <w:tcW w:w="960" w:type="dxa"/>
            <w:noWrap w:val="0"/>
            <w:vAlign w:val="center"/>
          </w:tcPr>
          <w:p>
            <w:pPr>
              <w:wordWrap w:val="0"/>
              <w:spacing w:line="460" w:lineRule="exact"/>
              <w:jc w:val="center"/>
              <w:rPr>
                <w:rFonts w:hint="eastAsia" w:ascii="宋体" w:hAnsi="宋体" w:eastAsia="宋体" w:cs="宋体"/>
                <w:sz w:val="21"/>
                <w:szCs w:val="21"/>
              </w:rPr>
            </w:pPr>
          </w:p>
        </w:tc>
        <w:tc>
          <w:tcPr>
            <w:tcW w:w="390" w:type="dxa"/>
            <w:noWrap w:val="0"/>
            <w:vAlign w:val="center"/>
          </w:tcPr>
          <w:p>
            <w:pPr>
              <w:wordWrap w:val="0"/>
              <w:spacing w:line="460" w:lineRule="exact"/>
              <w:jc w:val="center"/>
              <w:rPr>
                <w:rFonts w:hint="eastAsia" w:ascii="宋体" w:hAnsi="宋体" w:eastAsia="宋体" w:cs="宋体"/>
                <w:sz w:val="21"/>
                <w:szCs w:val="21"/>
              </w:rPr>
            </w:pPr>
          </w:p>
        </w:tc>
        <w:tc>
          <w:tcPr>
            <w:tcW w:w="600" w:type="dxa"/>
            <w:noWrap w:val="0"/>
            <w:vAlign w:val="center"/>
          </w:tcPr>
          <w:p>
            <w:pPr>
              <w:wordWrap w:val="0"/>
              <w:spacing w:line="460" w:lineRule="exact"/>
              <w:jc w:val="center"/>
              <w:rPr>
                <w:rFonts w:hint="eastAsia" w:ascii="宋体" w:hAnsi="宋体" w:eastAsia="宋体" w:cs="宋体"/>
                <w:sz w:val="21"/>
                <w:szCs w:val="21"/>
              </w:rPr>
            </w:pPr>
          </w:p>
        </w:tc>
        <w:tc>
          <w:tcPr>
            <w:tcW w:w="615" w:type="dxa"/>
            <w:noWrap w:val="0"/>
            <w:vAlign w:val="center"/>
          </w:tcPr>
          <w:p>
            <w:pPr>
              <w:wordWrap w:val="0"/>
              <w:spacing w:line="4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公民、法人或组织</w:t>
            </w:r>
          </w:p>
        </w:tc>
        <w:tc>
          <w:tcPr>
            <w:tcW w:w="585" w:type="dxa"/>
            <w:noWrap w:val="0"/>
            <w:vAlign w:val="center"/>
          </w:tcPr>
          <w:p>
            <w:pPr>
              <w:wordWrap w:val="0"/>
              <w:spacing w:line="460" w:lineRule="exact"/>
              <w:jc w:val="center"/>
              <w:rPr>
                <w:rFonts w:hint="eastAsia" w:ascii="宋体" w:hAnsi="宋体" w:eastAsia="宋体" w:cs="宋体"/>
                <w:sz w:val="21"/>
                <w:szCs w:val="21"/>
                <w:lang w:val="en-US" w:eastAsia="zh-CN"/>
              </w:rPr>
            </w:pPr>
          </w:p>
        </w:tc>
        <w:tc>
          <w:tcPr>
            <w:tcW w:w="1305" w:type="dxa"/>
            <w:noWrap w:val="0"/>
            <w:vAlign w:val="center"/>
          </w:tcPr>
          <w:p>
            <w:pPr>
              <w:wordWrap w:val="0"/>
              <w:spacing w:line="4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676" w:type="dxa"/>
            <w:noWrap w:val="0"/>
            <w:vAlign w:val="center"/>
          </w:tcPr>
          <w:p>
            <w:pPr>
              <w:wordWrap w:val="0"/>
              <w:spacing w:line="4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899" w:type="dxa"/>
            <w:noWrap w:val="0"/>
            <w:vAlign w:val="center"/>
          </w:tcPr>
          <w:p>
            <w:pPr>
              <w:wordWrap w:val="0"/>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对民办学校（含校外培训机构）违背国家教育方针，偏离社会主义办学方向，或者未保障学校党组织履行职责的；违反法律、行政法规和国家有关规定开展教育教学活动的；理事会、董事会或者其他形式决策机构未依法履行职责的；教学条件明显不能满足教学要求、教育教学质量低下，未及时采取措施的；校舍、其他教育教学设施设备存在重大安全隐患，未及时采取措施的；侵犯受教育者的合法权益，产生恶劣社会影响的；违反国家规定聘任、解聘教师，或者未依法保障教职工待遇的；违反规定招生，或者在招生过程中弄虚作假的；超出办学许可范围，擅自改变办学地址或者设立分校的；未依法履行公示办学条件和教育质量有关材料、财务状况等信息披露义务，或者公示的材料不真实的；未按照国家统一的会计制度进行会计核算、编制财务会计报告，财务、资产管理混乱，或者违反法律、法规增加收费项目、提高收费标准的；有其他管理混乱严重影响教育教学的行为的处罚患，未及时采取措施等的处罚</w:t>
            </w:r>
          </w:p>
        </w:tc>
        <w:tc>
          <w:tcPr>
            <w:tcW w:w="780" w:type="dxa"/>
            <w:noWrap w:val="0"/>
            <w:vAlign w:val="center"/>
          </w:tcPr>
          <w:p>
            <w:pPr>
              <w:wordWrap w:val="0"/>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行政处罚</w:t>
            </w:r>
          </w:p>
        </w:tc>
        <w:tc>
          <w:tcPr>
            <w:tcW w:w="915" w:type="dxa"/>
            <w:noWrap w:val="0"/>
            <w:vAlign w:val="center"/>
          </w:tcPr>
          <w:p>
            <w:pPr>
              <w:wordWrap w:val="0"/>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四平市铁东区教育局</w:t>
            </w:r>
          </w:p>
        </w:tc>
        <w:tc>
          <w:tcPr>
            <w:tcW w:w="960" w:type="dxa"/>
            <w:noWrap w:val="0"/>
            <w:vAlign w:val="center"/>
          </w:tcPr>
          <w:p>
            <w:pPr>
              <w:wordWrap w:val="0"/>
              <w:spacing w:line="4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四平市铁东区教育局行政审批办公室</w:t>
            </w:r>
          </w:p>
        </w:tc>
        <w:tc>
          <w:tcPr>
            <w:tcW w:w="2985" w:type="dxa"/>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《中华人民共和国民办教育促进法实施条例》第63条；民办学校有下列情形之一的，依照民办教育促进法第六十二条规定给予处罚：</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（一）违背国家教育方针，偏离社会主义办学方向，或者未保障学校党组织履行职责的；</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（二）违反法律、行政法规和国家有关规定开展教育教学活动的；</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（三）理事会、董事会或者其他形式决策机构未依法履行职责的；</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（四）教学条件明显不能满足教学要求、教育教学质量低下，未及时采取措施的；</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（五）校舍、其他教育教学设施设备存在重大安全隐患，未及时采取措施的；</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（六）侵犯受教育者的合法权益，产生恶劣社会影响的；</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（七）违反国家规定聘任、解聘教师，或者未依法保障教职工待遇的；</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（八）违反规定招生，或者在招生过程中弄虚作假的；</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（九）超出办学许可范围，擅自改变办学地址或者设立分校的；</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（十）未依法履行公示办学条件和教育质量有关材料、财务状况等信息披露义务，或者公示的材料不真实的；</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（十一）未按照国家统一的会计制度进行会计核算、编制财务会计报告，财务、资产管理混乱，或者违反法律、法规增加收费项目、提高收费标准的；</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（十二）有其他管理混乱严重影响教育教学的行为的。</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律、行政法规对前款规定情形的处罚另有规定的，从其规定。《校外培训行政处罚暂行办法》第6条；校外培训行政处罚由县级以上人民政府校外培训主管部门依法按照行政处罚权限实施。校外培训主管部门由省级人民政府根据国家有关规定确定。</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校外培训行政处罚由综合行政执法部门实施的，校外培训主管部门应当与综合行政执法部门建立行政执法信息互联互通、执法过程协作配合、执法结果及时反馈的工作机制。</w:t>
            </w:r>
          </w:p>
          <w:p>
            <w:pPr>
              <w:wordWrap w:val="0"/>
              <w:spacing w:line="4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校外培训行政处罚由乡镇人民政府、街道办事处实施的，县级校外培训主管部门应当加强对乡镇街道校外培训行政处罚工作的组织协调、业务指导、执法监督。《校外培训行政处罚暂行办法》第8条对线下校外培训违法行为的行政处罚，由违法行为发生地县级人民政府校外培训主管部门管辖。违法行为发生地与机构审批地不一致的，机构审批地有关部门应当依法予以协助。 　　（十）未依法履行公示办学条件和教育质量有关材料、财务状况等信息披露义务，或者公示的材料不真实的；  　　（十一）未按照国家统一的会计制度进行会计核算、编制财务会计报告，财务、资产管理混乱，或者违反法律、法规增加收费项目、提高收费标准的；  　　（十二）有其他管理混乱严重影响教育教学的行为的。  　　法律、行政法规对前款规定情形的处罚另有规定的，从其规定。</w:t>
            </w:r>
          </w:p>
        </w:tc>
        <w:tc>
          <w:tcPr>
            <w:tcW w:w="2100" w:type="dxa"/>
            <w:noWrap w:val="0"/>
            <w:vAlign w:val="center"/>
          </w:tcPr>
          <w:p>
            <w:pPr>
              <w:wordWrap w:val="0"/>
              <w:spacing w:line="460" w:lineRule="exact"/>
              <w:jc w:val="center"/>
              <w:rPr>
                <w:rFonts w:hint="eastAsia" w:ascii="宋体" w:hAnsi="宋体" w:eastAsia="宋体" w:cs="宋体"/>
                <w:sz w:val="21"/>
                <w:szCs w:val="21"/>
              </w:rPr>
            </w:pPr>
          </w:p>
        </w:tc>
        <w:tc>
          <w:tcPr>
            <w:tcW w:w="960" w:type="dxa"/>
            <w:noWrap w:val="0"/>
            <w:vAlign w:val="center"/>
          </w:tcPr>
          <w:p>
            <w:pPr>
              <w:wordWrap w:val="0"/>
              <w:spacing w:line="460" w:lineRule="exact"/>
              <w:jc w:val="center"/>
              <w:rPr>
                <w:rFonts w:hint="eastAsia" w:ascii="宋体" w:hAnsi="宋体" w:eastAsia="宋体" w:cs="宋体"/>
                <w:sz w:val="21"/>
                <w:szCs w:val="21"/>
              </w:rPr>
            </w:pPr>
          </w:p>
        </w:tc>
        <w:tc>
          <w:tcPr>
            <w:tcW w:w="390" w:type="dxa"/>
            <w:noWrap w:val="0"/>
            <w:vAlign w:val="center"/>
          </w:tcPr>
          <w:p>
            <w:pPr>
              <w:wordWrap w:val="0"/>
              <w:spacing w:line="460" w:lineRule="exact"/>
              <w:jc w:val="center"/>
              <w:rPr>
                <w:rFonts w:hint="eastAsia" w:ascii="宋体" w:hAnsi="宋体" w:eastAsia="宋体" w:cs="宋体"/>
                <w:sz w:val="21"/>
                <w:szCs w:val="21"/>
              </w:rPr>
            </w:pPr>
          </w:p>
        </w:tc>
        <w:tc>
          <w:tcPr>
            <w:tcW w:w="600" w:type="dxa"/>
            <w:noWrap w:val="0"/>
            <w:vAlign w:val="center"/>
          </w:tcPr>
          <w:p>
            <w:pPr>
              <w:wordWrap w:val="0"/>
              <w:spacing w:line="460" w:lineRule="exact"/>
              <w:jc w:val="center"/>
              <w:rPr>
                <w:rFonts w:hint="eastAsia" w:ascii="宋体" w:hAnsi="宋体" w:eastAsia="宋体" w:cs="宋体"/>
                <w:sz w:val="21"/>
                <w:szCs w:val="21"/>
              </w:rPr>
            </w:pPr>
          </w:p>
        </w:tc>
        <w:tc>
          <w:tcPr>
            <w:tcW w:w="615" w:type="dxa"/>
            <w:noWrap w:val="0"/>
            <w:vAlign w:val="center"/>
          </w:tcPr>
          <w:p>
            <w:pPr>
              <w:wordWrap w:val="0"/>
              <w:spacing w:line="4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公民、法人或组织</w:t>
            </w:r>
          </w:p>
        </w:tc>
        <w:tc>
          <w:tcPr>
            <w:tcW w:w="585" w:type="dxa"/>
            <w:noWrap w:val="0"/>
            <w:vAlign w:val="center"/>
          </w:tcPr>
          <w:p>
            <w:pPr>
              <w:wordWrap w:val="0"/>
              <w:spacing w:line="460" w:lineRule="exact"/>
              <w:jc w:val="center"/>
              <w:rPr>
                <w:rFonts w:hint="eastAsia" w:ascii="宋体" w:hAnsi="宋体" w:eastAsia="宋体" w:cs="宋体"/>
                <w:sz w:val="21"/>
                <w:szCs w:val="21"/>
                <w:lang w:val="en-US" w:eastAsia="zh-CN"/>
              </w:rPr>
            </w:pPr>
          </w:p>
        </w:tc>
        <w:tc>
          <w:tcPr>
            <w:tcW w:w="1305" w:type="dxa"/>
            <w:noWrap w:val="0"/>
            <w:vAlign w:val="center"/>
          </w:tcPr>
          <w:p>
            <w:pPr>
              <w:wordWrap w:val="0"/>
              <w:spacing w:line="4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676" w:type="dxa"/>
            <w:noWrap w:val="0"/>
            <w:vAlign w:val="center"/>
          </w:tcPr>
          <w:p>
            <w:pPr>
              <w:wordWrap w:val="0"/>
              <w:spacing w:line="4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899" w:type="dxa"/>
            <w:noWrap w:val="0"/>
            <w:vAlign w:val="center"/>
          </w:tcPr>
          <w:p>
            <w:pPr>
              <w:wordWrap w:val="0"/>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对民办学校（含校外培训机构）举办者及实际控制人、决策机构或者监督机构组成人员利用办学非法集资，或者收取与入学关联的费用的；未按时、足额履行出资义务，或者抽逃出资、挪用办学经费的；侵占学校法人财产或者非法从学校获取利益的；与实施义务教育的民办学校进行关联交易，或者与其他民办学校进行关联交易损害国家利益、学校利益和师生权益的；伪造、变造、买卖、出租、出借办学许可证的；干扰学校办学秩序或者非法干预学校决策、管理的;擅自变更学校名称、层次、类型和举办者的；有其他危害学校稳定和安全、侵犯学校法人权利或者损害教职工、受教育者权益的行为的处罚</w:t>
            </w:r>
          </w:p>
        </w:tc>
        <w:tc>
          <w:tcPr>
            <w:tcW w:w="780" w:type="dxa"/>
            <w:noWrap w:val="0"/>
            <w:vAlign w:val="center"/>
          </w:tcPr>
          <w:p>
            <w:pPr>
              <w:wordWrap w:val="0"/>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行政处罚</w:t>
            </w:r>
          </w:p>
        </w:tc>
        <w:tc>
          <w:tcPr>
            <w:tcW w:w="915" w:type="dxa"/>
            <w:noWrap w:val="0"/>
            <w:vAlign w:val="center"/>
          </w:tcPr>
          <w:p>
            <w:pPr>
              <w:wordWrap w:val="0"/>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四平市铁东区教育局</w:t>
            </w:r>
          </w:p>
        </w:tc>
        <w:tc>
          <w:tcPr>
            <w:tcW w:w="960" w:type="dxa"/>
            <w:noWrap w:val="0"/>
            <w:vAlign w:val="center"/>
          </w:tcPr>
          <w:p>
            <w:pPr>
              <w:wordWrap w:val="0"/>
              <w:spacing w:line="4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四平市铁东区教育局行政审批办公室</w:t>
            </w:r>
          </w:p>
        </w:tc>
        <w:tc>
          <w:tcPr>
            <w:tcW w:w="2985" w:type="dxa"/>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民办教育促进法实施条例》第62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（一）擅自分立、合并民办学校的；</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（二）擅自改变民办学校名称、层次、类别和举办者的；</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（三）发布虚假招生简章或者广告，骗取钱财的；</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（四）非法颁发或者伪造学历证书、结业证书、培训证书、职业资格证书的；</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（五）管理混乱严重影响教育教学，产生恶劣社会影响的；</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（六）提交虚假证明文件或者采取其他欺诈手段隐瞒重要事实骗取办学许可证的；</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（七）伪造、变造、买卖、出租、出借办学许可证的；</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（八）恶意终止办学、抽逃资金或者挪用办学经费的。《校外培训行政处罚暂行办法》第6条； 校外培训行政处罚由县级以上人民政府校外培训主管部门依法按照行政处罚权限实施。校外培训主管部门由省级人民政府根据国家有关规定确定。</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校外培训行政处罚由综合行政执法部门实施的，校外培训主管部门应当与综合行政执法部门建立行政执法信息互联互通、执法过程协作配合、执法结果及时反馈的工作机制。</w:t>
            </w:r>
          </w:p>
          <w:p>
            <w:pPr>
              <w:wordWrap w:val="0"/>
              <w:spacing w:line="4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校外培训行政处罚由乡镇人民政府、街道办事处实施的，县级校外培训主管部门应当加强对乡镇街道校外培训行政处罚工作的组织协调、业务指导、执法监督。《校外培训行政处罚暂行办法》第8条对线下校外培训违法行为的行政处罚，由违法行为发生地县级人民政府校外培训主管部门管辖。违法行为发生地与机构审批地不一致的，机构审批地有关部门应当依法予以协助。</w:t>
            </w:r>
          </w:p>
        </w:tc>
        <w:tc>
          <w:tcPr>
            <w:tcW w:w="2100" w:type="dxa"/>
            <w:noWrap w:val="0"/>
            <w:vAlign w:val="center"/>
          </w:tcPr>
          <w:p>
            <w:pPr>
              <w:wordWrap w:val="0"/>
              <w:spacing w:line="460" w:lineRule="exact"/>
              <w:jc w:val="center"/>
              <w:rPr>
                <w:rFonts w:hint="eastAsia" w:ascii="宋体" w:hAnsi="宋体" w:eastAsia="宋体" w:cs="宋体"/>
                <w:sz w:val="21"/>
                <w:szCs w:val="21"/>
              </w:rPr>
            </w:pPr>
          </w:p>
        </w:tc>
        <w:tc>
          <w:tcPr>
            <w:tcW w:w="960" w:type="dxa"/>
            <w:noWrap w:val="0"/>
            <w:vAlign w:val="center"/>
          </w:tcPr>
          <w:p>
            <w:pPr>
              <w:wordWrap w:val="0"/>
              <w:spacing w:line="460" w:lineRule="exact"/>
              <w:jc w:val="center"/>
              <w:rPr>
                <w:rFonts w:hint="eastAsia" w:ascii="宋体" w:hAnsi="宋体" w:eastAsia="宋体" w:cs="宋体"/>
                <w:sz w:val="21"/>
                <w:szCs w:val="21"/>
              </w:rPr>
            </w:pPr>
          </w:p>
        </w:tc>
        <w:tc>
          <w:tcPr>
            <w:tcW w:w="390" w:type="dxa"/>
            <w:noWrap w:val="0"/>
            <w:vAlign w:val="center"/>
          </w:tcPr>
          <w:p>
            <w:pPr>
              <w:wordWrap w:val="0"/>
              <w:spacing w:line="460" w:lineRule="exact"/>
              <w:jc w:val="center"/>
              <w:rPr>
                <w:rFonts w:hint="eastAsia" w:ascii="宋体" w:hAnsi="宋体" w:eastAsia="宋体" w:cs="宋体"/>
                <w:sz w:val="21"/>
                <w:szCs w:val="21"/>
              </w:rPr>
            </w:pPr>
          </w:p>
        </w:tc>
        <w:tc>
          <w:tcPr>
            <w:tcW w:w="600" w:type="dxa"/>
            <w:noWrap w:val="0"/>
            <w:vAlign w:val="center"/>
          </w:tcPr>
          <w:p>
            <w:pPr>
              <w:wordWrap w:val="0"/>
              <w:spacing w:line="460" w:lineRule="exact"/>
              <w:jc w:val="center"/>
              <w:rPr>
                <w:rFonts w:hint="eastAsia" w:ascii="宋体" w:hAnsi="宋体" w:eastAsia="宋体" w:cs="宋体"/>
                <w:sz w:val="21"/>
                <w:szCs w:val="21"/>
              </w:rPr>
            </w:pPr>
          </w:p>
        </w:tc>
        <w:tc>
          <w:tcPr>
            <w:tcW w:w="615" w:type="dxa"/>
            <w:noWrap w:val="0"/>
            <w:vAlign w:val="center"/>
          </w:tcPr>
          <w:p>
            <w:pPr>
              <w:wordWrap w:val="0"/>
              <w:spacing w:line="4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公民、法人或组织</w:t>
            </w:r>
          </w:p>
        </w:tc>
        <w:tc>
          <w:tcPr>
            <w:tcW w:w="585" w:type="dxa"/>
            <w:noWrap w:val="0"/>
            <w:vAlign w:val="center"/>
          </w:tcPr>
          <w:p>
            <w:pPr>
              <w:wordWrap w:val="0"/>
              <w:spacing w:line="460" w:lineRule="exact"/>
              <w:jc w:val="center"/>
              <w:rPr>
                <w:rFonts w:hint="eastAsia" w:ascii="宋体" w:hAnsi="宋体" w:eastAsia="宋体" w:cs="宋体"/>
                <w:sz w:val="21"/>
                <w:szCs w:val="21"/>
                <w:lang w:val="en-US" w:eastAsia="zh-CN"/>
              </w:rPr>
            </w:pPr>
          </w:p>
        </w:tc>
        <w:tc>
          <w:tcPr>
            <w:tcW w:w="1305" w:type="dxa"/>
            <w:noWrap w:val="0"/>
            <w:vAlign w:val="center"/>
          </w:tcPr>
          <w:p>
            <w:pPr>
              <w:wordWrap w:val="0"/>
              <w:spacing w:line="4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676" w:type="dxa"/>
            <w:noWrap w:val="0"/>
            <w:vAlign w:val="center"/>
          </w:tcPr>
          <w:p>
            <w:pPr>
              <w:wordWrap w:val="0"/>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899" w:type="dxa"/>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对违反国家有关规定，举办学校（含民办学校）或者其他教育机构(含校外培训机构）的处罚</w:t>
            </w:r>
          </w:p>
          <w:p>
            <w:pPr>
              <w:wordWrap w:val="0"/>
              <w:spacing w:line="460" w:lineRule="exact"/>
              <w:jc w:val="center"/>
              <w:rPr>
                <w:rFonts w:hint="eastAsia" w:ascii="宋体" w:hAnsi="宋体" w:eastAsia="宋体" w:cs="宋体"/>
                <w:sz w:val="21"/>
                <w:szCs w:val="21"/>
                <w:lang w:eastAsia="zh-CN"/>
              </w:rPr>
            </w:pPr>
          </w:p>
        </w:tc>
        <w:tc>
          <w:tcPr>
            <w:tcW w:w="780" w:type="dxa"/>
            <w:noWrap w:val="0"/>
            <w:vAlign w:val="center"/>
          </w:tcPr>
          <w:p>
            <w:pPr>
              <w:wordWrap w:val="0"/>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行政处罚</w:t>
            </w:r>
          </w:p>
        </w:tc>
        <w:tc>
          <w:tcPr>
            <w:tcW w:w="915" w:type="dxa"/>
            <w:noWrap w:val="0"/>
            <w:vAlign w:val="center"/>
          </w:tcPr>
          <w:p>
            <w:pPr>
              <w:wordWrap w:val="0"/>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四平市铁东区教育局</w:t>
            </w:r>
          </w:p>
        </w:tc>
        <w:tc>
          <w:tcPr>
            <w:tcW w:w="960" w:type="dxa"/>
            <w:noWrap w:val="0"/>
            <w:vAlign w:val="center"/>
          </w:tcPr>
          <w:p>
            <w:pPr>
              <w:wordWrap w:val="0"/>
              <w:spacing w:line="4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四平市铁东区教育局行政审批办公室</w:t>
            </w:r>
          </w:p>
        </w:tc>
        <w:tc>
          <w:tcPr>
            <w:tcW w:w="2985" w:type="dxa"/>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教育法》第75条；违反国家有关规定，举办学校或者其他教育机构的，由教育行政部门或者其他有关行政部门予以撤销；有违法所得的，没收违法所得；对直接负责的主管人员和其他直接责任人员，依法给予处分。《中华人民共和国民办教育促进法》第64条；《校外培训行政处罚暂行办法》第6条，校外培训行政处罚由县级以上人民政府校外培训主管部门依法按照行政处罚权限实施。校外培训主管部门由省级人民政府根据国家有关规定确定。</w:t>
            </w:r>
          </w:p>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校外培训行政处罚由综合行政执法部门实施的，校外培训主管部门应当与综合行政执法部门建立行政执法信息互联互通、执法过程协作配合、执法结果及时反馈的工作机制。</w:t>
            </w:r>
          </w:p>
          <w:p>
            <w:pPr>
              <w:wordWrap w:val="0"/>
              <w:spacing w:line="4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校外培训行政处罚由乡镇人民政府、街道办事处实施的，县级校外培训主管部门应当加强对乡镇街道校外培训行政处罚工作的组织协调、业务指导、执法监督。《校外培训行政处罚暂行办法》第8条，对线下校外培训违法行为的行政处罚，由违法行为发生地县级人民政府校外培训主管部门管辖。违法行为发生地与机构审批地不一致的，机构审批地有关部门应当依法予以协助。</w:t>
            </w:r>
          </w:p>
        </w:tc>
        <w:tc>
          <w:tcPr>
            <w:tcW w:w="2100" w:type="dxa"/>
            <w:noWrap w:val="0"/>
            <w:vAlign w:val="center"/>
          </w:tcPr>
          <w:p>
            <w:pPr>
              <w:wordWrap w:val="0"/>
              <w:spacing w:line="460" w:lineRule="exact"/>
              <w:jc w:val="center"/>
              <w:rPr>
                <w:rFonts w:hint="eastAsia" w:ascii="宋体" w:hAnsi="宋体" w:eastAsia="宋体" w:cs="宋体"/>
                <w:sz w:val="21"/>
                <w:szCs w:val="21"/>
              </w:rPr>
            </w:pPr>
          </w:p>
        </w:tc>
        <w:tc>
          <w:tcPr>
            <w:tcW w:w="960" w:type="dxa"/>
            <w:noWrap w:val="0"/>
            <w:vAlign w:val="center"/>
          </w:tcPr>
          <w:p>
            <w:pPr>
              <w:wordWrap w:val="0"/>
              <w:spacing w:line="460" w:lineRule="exact"/>
              <w:jc w:val="center"/>
              <w:rPr>
                <w:rFonts w:hint="eastAsia" w:ascii="宋体" w:hAnsi="宋体" w:eastAsia="宋体" w:cs="宋体"/>
                <w:sz w:val="21"/>
                <w:szCs w:val="21"/>
              </w:rPr>
            </w:pPr>
          </w:p>
        </w:tc>
        <w:tc>
          <w:tcPr>
            <w:tcW w:w="390" w:type="dxa"/>
            <w:noWrap w:val="0"/>
            <w:vAlign w:val="center"/>
          </w:tcPr>
          <w:p>
            <w:pPr>
              <w:wordWrap w:val="0"/>
              <w:spacing w:line="460" w:lineRule="exact"/>
              <w:jc w:val="center"/>
              <w:rPr>
                <w:rFonts w:hint="eastAsia" w:ascii="宋体" w:hAnsi="宋体" w:eastAsia="宋体" w:cs="宋体"/>
                <w:sz w:val="21"/>
                <w:szCs w:val="21"/>
              </w:rPr>
            </w:pPr>
          </w:p>
        </w:tc>
        <w:tc>
          <w:tcPr>
            <w:tcW w:w="600" w:type="dxa"/>
            <w:noWrap w:val="0"/>
            <w:vAlign w:val="center"/>
          </w:tcPr>
          <w:p>
            <w:pPr>
              <w:wordWrap w:val="0"/>
              <w:spacing w:line="460" w:lineRule="exact"/>
              <w:jc w:val="center"/>
              <w:rPr>
                <w:rFonts w:hint="eastAsia" w:ascii="宋体" w:hAnsi="宋体" w:eastAsia="宋体" w:cs="宋体"/>
                <w:sz w:val="21"/>
                <w:szCs w:val="21"/>
              </w:rPr>
            </w:pPr>
          </w:p>
        </w:tc>
        <w:tc>
          <w:tcPr>
            <w:tcW w:w="615" w:type="dxa"/>
            <w:noWrap w:val="0"/>
            <w:vAlign w:val="center"/>
          </w:tcPr>
          <w:p>
            <w:pPr>
              <w:wordWrap w:val="0"/>
              <w:spacing w:line="4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公民、法人或组织</w:t>
            </w:r>
          </w:p>
        </w:tc>
        <w:tc>
          <w:tcPr>
            <w:tcW w:w="585" w:type="dxa"/>
            <w:noWrap w:val="0"/>
            <w:vAlign w:val="center"/>
          </w:tcPr>
          <w:p>
            <w:pPr>
              <w:wordWrap w:val="0"/>
              <w:spacing w:line="460" w:lineRule="exact"/>
              <w:jc w:val="center"/>
              <w:rPr>
                <w:rFonts w:hint="eastAsia" w:ascii="宋体" w:hAnsi="宋体" w:eastAsia="宋体" w:cs="宋体"/>
                <w:sz w:val="21"/>
                <w:szCs w:val="21"/>
                <w:lang w:val="en-US" w:eastAsia="zh-CN"/>
              </w:rPr>
            </w:pPr>
          </w:p>
        </w:tc>
        <w:tc>
          <w:tcPr>
            <w:tcW w:w="1305" w:type="dxa"/>
            <w:noWrap w:val="0"/>
            <w:vAlign w:val="center"/>
          </w:tcPr>
          <w:p>
            <w:pPr>
              <w:wordWrap w:val="0"/>
              <w:spacing w:line="4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676" w:type="dxa"/>
            <w:noWrap w:val="0"/>
            <w:vAlign w:val="center"/>
          </w:tcPr>
          <w:p>
            <w:pPr>
              <w:wordWrap w:val="0"/>
              <w:spacing w:line="460" w:lineRule="exact"/>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9</w:t>
            </w:r>
          </w:p>
        </w:tc>
        <w:tc>
          <w:tcPr>
            <w:tcW w:w="899" w:type="dxa"/>
            <w:noWrap w:val="0"/>
            <w:vAlign w:val="center"/>
          </w:tcPr>
          <w:p>
            <w:pPr>
              <w:wordWrap w:val="0"/>
              <w:spacing w:line="46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对弄虚作假、骗取教师资格，教师品行不良、侮辱学生、影响恶劣的处罚</w:t>
            </w:r>
          </w:p>
        </w:tc>
        <w:tc>
          <w:tcPr>
            <w:tcW w:w="780" w:type="dxa"/>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行政处罚</w:t>
            </w:r>
          </w:p>
        </w:tc>
        <w:tc>
          <w:tcPr>
            <w:tcW w:w="915" w:type="dxa"/>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四平市铁东区教育局</w:t>
            </w:r>
          </w:p>
        </w:tc>
        <w:tc>
          <w:tcPr>
            <w:tcW w:w="960" w:type="dxa"/>
            <w:noWrap w:val="0"/>
            <w:vAlign w:val="center"/>
          </w:tcPr>
          <w:p>
            <w:pPr>
              <w:wordWrap w:val="0"/>
              <w:spacing w:line="4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四平市铁东区教育局行政审批办公室</w:t>
            </w:r>
          </w:p>
        </w:tc>
        <w:tc>
          <w:tcPr>
            <w:tcW w:w="2985" w:type="dxa"/>
            <w:noWrap w:val="0"/>
            <w:vAlign w:val="center"/>
          </w:tcPr>
          <w:p>
            <w:pPr>
              <w:wordWrap w:val="0"/>
              <w:spacing w:line="4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《中华人民共和国教师法》第八章 第三十七条 教师有下列情形之一的，由所在学校、其他教育机构或者教育行政部门给予行政处分或者解聘:  　　（一）故意不完成教育教学任务给教育教学工作造成损失的；  　　（二）体罚学生，经教育不改的；  　　（三）品行不良、侮辱学生，影响恶劣的。  　　教师有前款第（二）项、第（三）项所列情形之一，情节严重，构成犯罪的，依法追究刑事责任。</w:t>
            </w:r>
          </w:p>
        </w:tc>
        <w:tc>
          <w:tcPr>
            <w:tcW w:w="2100" w:type="dxa"/>
            <w:noWrap w:val="0"/>
            <w:vAlign w:val="center"/>
          </w:tcPr>
          <w:p>
            <w:pPr>
              <w:wordWrap w:val="0"/>
              <w:spacing w:line="460" w:lineRule="exact"/>
              <w:jc w:val="center"/>
              <w:rPr>
                <w:rFonts w:hint="eastAsia" w:ascii="宋体" w:hAnsi="宋体" w:eastAsia="宋体" w:cs="宋体"/>
                <w:sz w:val="21"/>
                <w:szCs w:val="21"/>
              </w:rPr>
            </w:pPr>
          </w:p>
        </w:tc>
        <w:tc>
          <w:tcPr>
            <w:tcW w:w="960" w:type="dxa"/>
            <w:noWrap w:val="0"/>
            <w:vAlign w:val="center"/>
          </w:tcPr>
          <w:p>
            <w:pPr>
              <w:wordWrap w:val="0"/>
              <w:spacing w:line="460" w:lineRule="exact"/>
              <w:jc w:val="center"/>
              <w:rPr>
                <w:rFonts w:hint="eastAsia" w:ascii="宋体" w:hAnsi="宋体" w:eastAsia="宋体" w:cs="宋体"/>
                <w:sz w:val="21"/>
                <w:szCs w:val="21"/>
              </w:rPr>
            </w:pPr>
          </w:p>
        </w:tc>
        <w:tc>
          <w:tcPr>
            <w:tcW w:w="390" w:type="dxa"/>
            <w:noWrap w:val="0"/>
            <w:vAlign w:val="center"/>
          </w:tcPr>
          <w:p>
            <w:pPr>
              <w:wordWrap w:val="0"/>
              <w:spacing w:line="460" w:lineRule="exact"/>
              <w:jc w:val="center"/>
              <w:rPr>
                <w:rFonts w:hint="eastAsia" w:ascii="宋体" w:hAnsi="宋体" w:eastAsia="宋体" w:cs="宋体"/>
                <w:sz w:val="21"/>
                <w:szCs w:val="21"/>
              </w:rPr>
            </w:pPr>
          </w:p>
        </w:tc>
        <w:tc>
          <w:tcPr>
            <w:tcW w:w="600" w:type="dxa"/>
            <w:noWrap w:val="0"/>
            <w:vAlign w:val="center"/>
          </w:tcPr>
          <w:p>
            <w:pPr>
              <w:wordWrap w:val="0"/>
              <w:spacing w:line="460" w:lineRule="exact"/>
              <w:jc w:val="center"/>
              <w:rPr>
                <w:rFonts w:hint="eastAsia" w:ascii="宋体" w:hAnsi="宋体" w:eastAsia="宋体" w:cs="宋体"/>
                <w:sz w:val="21"/>
                <w:szCs w:val="21"/>
              </w:rPr>
            </w:pPr>
          </w:p>
        </w:tc>
        <w:tc>
          <w:tcPr>
            <w:tcW w:w="615" w:type="dxa"/>
            <w:noWrap w:val="0"/>
            <w:vAlign w:val="center"/>
          </w:tcPr>
          <w:p>
            <w:pPr>
              <w:wordWrap w:val="0"/>
              <w:spacing w:line="4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公民、法人或组织</w:t>
            </w:r>
          </w:p>
        </w:tc>
        <w:tc>
          <w:tcPr>
            <w:tcW w:w="585" w:type="dxa"/>
            <w:noWrap w:val="0"/>
            <w:vAlign w:val="center"/>
          </w:tcPr>
          <w:p>
            <w:pPr>
              <w:wordWrap w:val="0"/>
              <w:spacing w:line="460" w:lineRule="exact"/>
              <w:jc w:val="center"/>
              <w:rPr>
                <w:rFonts w:hint="eastAsia" w:ascii="宋体" w:hAnsi="宋体" w:eastAsia="宋体" w:cs="宋体"/>
                <w:sz w:val="21"/>
                <w:szCs w:val="21"/>
                <w:lang w:val="en-US" w:eastAsia="zh-CN"/>
              </w:rPr>
            </w:pPr>
          </w:p>
        </w:tc>
        <w:tc>
          <w:tcPr>
            <w:tcW w:w="1305" w:type="dxa"/>
            <w:noWrap w:val="0"/>
            <w:vAlign w:val="center"/>
          </w:tcPr>
          <w:p>
            <w:pPr>
              <w:wordWrap w:val="0"/>
              <w:spacing w:line="460" w:lineRule="exact"/>
              <w:jc w:val="center"/>
              <w:rPr>
                <w:rFonts w:hint="eastAsia" w:ascii="宋体" w:hAnsi="宋体" w:eastAsia="宋体" w:cs="宋体"/>
                <w:sz w:val="21"/>
                <w:szCs w:val="21"/>
              </w:rPr>
            </w:pPr>
          </w:p>
        </w:tc>
      </w:tr>
    </w:tbl>
    <w:p/>
    <w:sectPr>
      <w:pgSz w:w="16838" w:h="11906" w:orient="landscape"/>
      <w:pgMar w:top="1803" w:right="1440" w:bottom="1803" w:left="1440"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ZDJkMDJjN2EwMDg2MGZhNDFlZGFmNDQ4MzgwMmMifQ=="/>
    <w:docVar w:name="KSO_WPS_MARK_KEY" w:val="d5e13748-bb6b-44e1-805f-4b17fe24fb1a"/>
  </w:docVars>
  <w:rsids>
    <w:rsidRoot w:val="5CEF41D3"/>
    <w:rsid w:val="093D5CBC"/>
    <w:rsid w:val="0F0250DC"/>
    <w:rsid w:val="30BE2779"/>
    <w:rsid w:val="44CB1703"/>
    <w:rsid w:val="4EFD0F92"/>
    <w:rsid w:val="55E70966"/>
    <w:rsid w:val="5C7B2DAD"/>
    <w:rsid w:val="5CEF41D3"/>
    <w:rsid w:val="68E54F07"/>
    <w:rsid w:val="6F252462"/>
    <w:rsid w:val="755F0589"/>
    <w:rsid w:val="766F7C06"/>
    <w:rsid w:val="7A665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41"/>
    <w:basedOn w:val="5"/>
    <w:qFormat/>
    <w:uiPriority w:val="0"/>
    <w:rPr>
      <w:rFonts w:ascii="方正小标宋_GBK" w:hAnsi="方正小标宋_GBK" w:eastAsia="方正小标宋_GBK" w:cs="方正小标宋_GBK"/>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4755</Words>
  <Characters>4808</Characters>
  <Lines>0</Lines>
  <Paragraphs>0</Paragraphs>
  <TotalTime>7</TotalTime>
  <ScaleCrop>false</ScaleCrop>
  <LinksUpToDate>false</LinksUpToDate>
  <CharactersWithSpaces>4916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2024-09-10T02:40:00Z</dcterms:created>
  <dc:creator>Administrator</dc:creator>
  <cp:lastModifiedBy>我爱我家</cp:lastModifiedBy>
  <dcterms:modified xsi:type="dcterms:W3CDTF">2024-09-13T01:37:35Z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DA8AED2345094F14B1C023698ED1037F_13</vt:lpwstr>
  </property>
</Properties>
</file>