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附件3</w:t>
      </w:r>
    </w:p>
    <w:p>
      <w:pPr>
        <w:shd w:val="solid" w:color="FFFFFF" w:fill="auto"/>
        <w:kinsoku/>
        <w:autoSpaceDE/>
        <w:autoSpaceDN w:val="0"/>
        <w:spacing w:line="330" w:lineRule="atLeast"/>
        <w:ind w:firstLine="0"/>
        <w:jc w:val="center"/>
        <w:rPr>
          <w:rFonts w:hint="default" w:ascii="微软雅黑" w:hAnsi="微软雅黑" w:eastAsia="微软雅黑"/>
          <w:b w:val="0"/>
          <w:i w:val="0"/>
          <w:snapToGrid/>
          <w:color w:val="000000"/>
          <w:sz w:val="21"/>
          <w:shd w:val="clear" w:color="auto" w:fill="FFFFFF"/>
          <w:lang w:eastAsia="zh-CN"/>
        </w:rPr>
      </w:pPr>
      <w:r>
        <w:rPr>
          <w:rFonts w:hint="eastAsia" w:ascii="黑体" w:hAnsi="黑体" w:eastAsia="黑体"/>
          <w:b/>
          <w:i w:val="0"/>
          <w:snapToGrid/>
          <w:color w:val="333333"/>
          <w:sz w:val="44"/>
          <w:shd w:val="clear" w:color="auto" w:fill="FFFFFF"/>
          <w:lang w:eastAsia="zh-CN"/>
        </w:rPr>
        <w:t>铁东区</w:t>
      </w:r>
      <w:r>
        <w:rPr>
          <w:rFonts w:hint="default" w:ascii="黑体" w:hAnsi="黑体" w:eastAsia="黑体"/>
          <w:b/>
          <w:i w:val="0"/>
          <w:snapToGrid/>
          <w:color w:val="333333"/>
          <w:sz w:val="44"/>
          <w:shd w:val="clear" w:color="auto" w:fill="FFFFFF"/>
          <w:lang w:eastAsia="zh-CN"/>
        </w:rPr>
        <w:t>住房和城乡建设局</w:t>
      </w:r>
    </w:p>
    <w:p>
      <w:pPr>
        <w:shd w:val="solid" w:color="FFFFFF" w:fill="auto"/>
        <w:kinsoku/>
        <w:autoSpaceDE/>
        <w:autoSpaceDN w:val="0"/>
        <w:spacing w:line="330" w:lineRule="atLeast"/>
        <w:ind w:firstLine="0"/>
        <w:jc w:val="center"/>
        <w:rPr>
          <w:rFonts w:hint="default" w:ascii="黑体" w:hAnsi="黑体" w:eastAsia="黑体"/>
          <w:b/>
          <w:i w:val="0"/>
          <w:snapToGrid/>
          <w:color w:val="333333"/>
          <w:sz w:val="44"/>
          <w:shd w:val="clear" w:color="auto" w:fill="FFFFFF"/>
          <w:lang w:eastAsia="zh-CN"/>
        </w:rPr>
      </w:pPr>
      <w:r>
        <w:rPr>
          <w:rFonts w:hint="default" w:ascii="黑体" w:hAnsi="黑体" w:eastAsia="黑体"/>
          <w:b/>
          <w:i w:val="0"/>
          <w:snapToGrid/>
          <w:color w:val="333333"/>
          <w:sz w:val="44"/>
          <w:shd w:val="clear" w:color="auto" w:fill="FFFFFF"/>
          <w:lang w:eastAsia="zh-CN"/>
        </w:rPr>
        <w:t>行政执法全过程记录制度</w:t>
      </w:r>
      <w:r>
        <w:rPr>
          <w:rFonts w:hint="eastAsia" w:ascii="黑体" w:hAnsi="黑体" w:eastAsia="黑体"/>
          <w:b/>
          <w:i w:val="0"/>
          <w:snapToGrid/>
          <w:color w:val="333333"/>
          <w:sz w:val="44"/>
          <w:shd w:val="clear" w:color="auto" w:fill="FFFFFF"/>
          <w:lang w:eastAsia="zh-CN"/>
        </w:rPr>
        <w:t>（试行）</w:t>
      </w:r>
    </w:p>
    <w:p>
      <w:pPr>
        <w:shd w:val="solid" w:color="FFFFFF" w:fill="auto"/>
        <w:kinsoku/>
        <w:autoSpaceDE/>
        <w:autoSpaceDN w:val="0"/>
        <w:spacing w:line="330" w:lineRule="atLeast"/>
        <w:ind w:firstLine="0"/>
        <w:jc w:val="center"/>
        <w:rPr>
          <w:rFonts w:hint="default" w:ascii="微软雅黑" w:hAnsi="微软雅黑" w:eastAsia="微软雅黑"/>
          <w:b w:val="0"/>
          <w:i w:val="0"/>
          <w:snapToGrid/>
          <w:color w:val="000000"/>
          <w:sz w:val="21"/>
          <w:shd w:val="clear" w:color="auto" w:fill="FFFFFF"/>
          <w:lang w:eastAsia="zh-CN"/>
        </w:rPr>
      </w:pPr>
      <w:r>
        <w:rPr>
          <w:rFonts w:hint="default" w:ascii="宋体" w:hAnsi="宋体" w:eastAsia="宋体"/>
          <w:b/>
          <w:i w:val="0"/>
          <w:snapToGrid/>
          <w:color w:val="000000"/>
          <w:sz w:val="32"/>
          <w:shd w:val="clear" w:color="auto" w:fill="FFFFFF"/>
          <w:lang w:eastAsia="zh-CN"/>
        </w:rPr>
        <w:t>第一章  总则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第一条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为了深入推进依法行政，进一步规范行政执法行为，加强行政权力的制约和监督，维护当事人和行政执法人员合法权益，根据《中华人民共和国行政处罚法》等法律法规，结合执法实际，制定本制度。</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第二条</w:t>
      </w:r>
      <w:r>
        <w:rPr>
          <w:rFonts w:hint="default" w:ascii="宋体" w:hAnsi="宋体" w:eastAsia="宋体"/>
          <w:b w:val="0"/>
          <w:i w:val="0"/>
          <w:snapToGrid/>
          <w:color w:val="000000"/>
          <w:sz w:val="32"/>
          <w:shd w:val="clear" w:color="auto" w:fill="FFFFFF"/>
          <w:lang w:eastAsia="zh-CN"/>
        </w:rPr>
        <w:t xml:space="preserve"> 本</w:t>
      </w:r>
      <w:r>
        <w:rPr>
          <w:rFonts w:hint="default" w:ascii="仿宋" w:hAnsi="仿宋" w:eastAsia="仿宋"/>
          <w:b w:val="0"/>
          <w:i w:val="0"/>
          <w:snapToGrid/>
          <w:color w:val="000000"/>
          <w:sz w:val="32"/>
          <w:shd w:val="clear" w:color="auto" w:fill="FFFFFF"/>
          <w:lang w:eastAsia="zh-CN"/>
        </w:rPr>
        <w:t>制度所称的执法全过程记录，是指在城乡建设行政执法过程中，通过完成执法案卷制作，充分利用执法记录仪等方式，对日常巡查、调查取证、文书送达等行政执法活动全过程进行记录。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第三条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各执法单位应当加强对行政执法人员行政执法全过程记录的培训和监督检查，严格文书、影像资料、记录仪管理，充分发挥执法记录制度的监督作用。</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第二章  记录的形式、范围和载体</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第四条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行政执法全过程记录包括文字记录和动态记录两种形式。</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第五条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文字记录即通过文书、案卷制作记录行政执法的全过程。</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第六条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动态记录即通过执法记录仪、照相机、摄像机等执法记录设备对日常巡查、调查取证、询问当事人、文书送达、行政听证等行政执法活动进行记录，即录像、录音、照片等影像资料。</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第三章  记录设备使用和管理</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第七条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建立影像资料管理制度，按照执法单位名称、执法记录设备编号、执法人员信息、案由及案件当事人等项目分类存储，严格管理。</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第八条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人员在查处违法行为、处理违法案件时，在条件允许的情况下，应当佩戴、使用执法记录仪进行全程录音录像，客观、真实地记录执法工作情况及相关证据；受客观条件限制，无法全程录音录像的，应当对重要环节使用照相机、摄像机等记录设备进行录音录像，并做好执法文书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第九条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定期做好执法记录设备的维护和保养，保持设备整洁、性能良好。在进行执法记录时，应当及时检查执法记录设备的电池容量、内存空间，保证执法记录设备正常使用。</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第四章  记录的保存及归档</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负责本单位执法记录设备的影像资料和行政执法案卷日常存储、保管。</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第十一条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日常执法的影像资料保存期限不少于一年。</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案卷每年底都交由法规科统一考评、保存。行政处罚一般程序案件中作为证据使用的影像资料保存期限应当与案卷保存期限相同。</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第十二条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有下列情形，应当采取刻录光盘等方式，长期保存记录的影像资料：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（一）当事人对行政执法人员现场执法、办案有异议或者投诉、上访的；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（二）当事人逃避、拒绝、阻碍行政执法人员依法执行公务，或者谩骂、侮辱、殴打行政执法人员的；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（三）行政执法人员参与处置群体性事件、突发事件的；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（四）其他需要长期保存的情况。</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第五章  检查和考评</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第十三条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局纪检</w:t>
      </w:r>
      <w:r>
        <w:rPr>
          <w:rFonts w:hint="eastAsia" w:ascii="仿宋" w:hAnsi="仿宋" w:eastAsia="仿宋"/>
          <w:b w:val="0"/>
          <w:i w:val="0"/>
          <w:snapToGrid/>
          <w:color w:val="000000"/>
          <w:sz w:val="32"/>
          <w:shd w:val="clear" w:color="auto" w:fill="FFFFFF"/>
          <w:lang w:eastAsia="zh-CN"/>
        </w:rPr>
        <w:t>组</w:t>
      </w:r>
      <w:bookmarkStart w:id="0" w:name="_GoBack"/>
      <w:bookmarkEnd w:id="0"/>
      <w:r>
        <w:rPr>
          <w:rFonts w:hint="default" w:ascii="仿宋" w:hAnsi="仿宋" w:eastAsia="仿宋"/>
          <w:b w:val="0"/>
          <w:i w:val="0"/>
          <w:snapToGrid/>
          <w:color w:val="000000"/>
          <w:sz w:val="32"/>
          <w:shd w:val="clear" w:color="auto" w:fill="FFFFFF"/>
          <w:lang w:eastAsia="zh-CN"/>
        </w:rPr>
        <w:t>定期对执法记录设备反映的行政执法人员队容风纪、文明执法情况进行抽检，对记录的案卷、影像资料进行回放检查，并建立检查台帐。</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第十四条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行政执法人员在进行执法记录时，严禁下列行为：</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（一）在查处违法行为、处理违法案件时不进行执法全过程记录；</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（二）删减、修改执法记录设备记录的原始影像资料；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（三）私自复制、保存或者传播、泄露执法记录的影像资料和案卷资料；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（四）利用执法记录设备记录与执勤执法无关的活动；</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（五）故意毁坏执法文书、案卷材料、执法记录设备或者影像资料存储设备；</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（六）其他违反执法记录管理规定的行为。</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违反上述规定，情节轻微的，予以批评教育；情节严重的，给予警告、记过或者记大过处分，同时追究相关领导的责任。</w:t>
      </w:r>
    </w:p>
    <w:p>
      <w:pPr>
        <w:shd w:val="solid" w:color="FFFFFF" w:fill="auto"/>
        <w:kinsoku/>
        <w:autoSpaceDE/>
        <w:autoSpaceDN w:val="0"/>
        <w:spacing w:line="330" w:lineRule="atLeast"/>
        <w:ind w:firstLine="640"/>
        <w:jc w:val="center"/>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i w:val="0"/>
          <w:snapToGrid/>
          <w:color w:val="000000"/>
          <w:sz w:val="32"/>
          <w:shd w:val="clear" w:color="auto" w:fill="FFFFFF"/>
          <w:lang w:eastAsia="zh-CN"/>
        </w:rPr>
        <w:t>第六章  附则</w:t>
      </w:r>
    </w:p>
    <w:p>
      <w:pPr>
        <w:shd w:val="solid" w:color="FFFFFF" w:fill="auto"/>
        <w:kinsoku/>
        <w:autoSpaceDE/>
        <w:autoSpaceDN w:val="0"/>
        <w:spacing w:line="330" w:lineRule="atLeast"/>
        <w:ind w:firstLine="640"/>
        <w:jc w:val="both"/>
        <w:rPr>
          <w:rFonts w:hint="default" w:ascii="微软雅黑" w:hAnsi="微软雅黑" w:eastAsia="微软雅黑"/>
          <w:b w:val="0"/>
          <w:i w:val="0"/>
          <w:snapToGrid/>
          <w:color w:val="000000"/>
          <w:sz w:val="21"/>
          <w:shd w:val="clear" w:color="auto" w:fill="FFFFFF"/>
          <w:lang w:eastAsia="zh-CN"/>
        </w:rPr>
      </w:pPr>
      <w:r>
        <w:rPr>
          <w:rFonts w:hint="default" w:ascii="仿宋" w:hAnsi="仿宋" w:eastAsia="仿宋"/>
          <w:b w:val="0"/>
          <w:i w:val="0"/>
          <w:snapToGrid/>
          <w:color w:val="000000"/>
          <w:sz w:val="32"/>
          <w:shd w:val="clear" w:color="auto" w:fill="FFFFFF"/>
          <w:lang w:eastAsia="zh-CN"/>
        </w:rPr>
        <w:t>第十五条</w:t>
      </w:r>
      <w:r>
        <w:rPr>
          <w:rFonts w:hint="default" w:ascii="宋体" w:hAnsi="宋体" w:eastAsia="宋体"/>
          <w:b w:val="0"/>
          <w:i w:val="0"/>
          <w:snapToGrid/>
          <w:color w:val="000000"/>
          <w:sz w:val="32"/>
          <w:shd w:val="clear" w:color="auto" w:fill="FFFFFF"/>
          <w:lang w:eastAsia="zh-CN"/>
        </w:rPr>
        <w:t xml:space="preserve">  </w:t>
      </w:r>
      <w:r>
        <w:rPr>
          <w:rFonts w:hint="default" w:ascii="仿宋" w:hAnsi="仿宋" w:eastAsia="仿宋"/>
          <w:b w:val="0"/>
          <w:i w:val="0"/>
          <w:snapToGrid/>
          <w:color w:val="000000"/>
          <w:sz w:val="32"/>
          <w:shd w:val="clear" w:color="auto" w:fill="FFFFFF"/>
          <w:lang w:eastAsia="zh-CN"/>
        </w:rPr>
        <w:t>本制度自发布之日起施行。</w:t>
      </w:r>
    </w:p>
    <w:p>
      <w:pPr>
        <w:shd w:val="solid" w:color="FFFFFF" w:fill="auto"/>
        <w:kinsoku/>
        <w:autoSpaceDE/>
        <w:autoSpaceDN w:val="0"/>
        <w:spacing w:line="330" w:lineRule="atLeast"/>
        <w:ind w:firstLine="640"/>
        <w:jc w:val="both"/>
        <w:rPr>
          <w:rFonts w:hint="eastAsia" w:ascii="仿宋" w:hAnsi="仿宋" w:eastAsia="仿宋"/>
          <w:b w:val="0"/>
          <w:i w:val="0"/>
          <w:snapToGrid/>
          <w:color w:val="000000"/>
          <w:sz w:val="32"/>
          <w:shd w:val="clear" w:color="auto" w:fill="FFFFFF"/>
          <w:lang w:eastAsia="zh-CN"/>
        </w:rPr>
      </w:pPr>
    </w:p>
    <w:p>
      <w:pPr>
        <w:shd w:val="solid" w:color="FFFFFF" w:fill="auto"/>
        <w:kinsoku/>
        <w:autoSpaceDE/>
        <w:autoSpaceDN w:val="0"/>
        <w:spacing w:line="330" w:lineRule="atLeast"/>
        <w:ind w:firstLine="640"/>
        <w:jc w:val="both"/>
        <w:rPr>
          <w:rFonts w:hint="eastAsia" w:ascii="仿宋" w:hAnsi="仿宋" w:eastAsia="仿宋"/>
          <w:b w:val="0"/>
          <w:i w:val="0"/>
          <w:snapToGrid/>
          <w:color w:val="000000"/>
          <w:sz w:val="32"/>
          <w:shd w:val="clear" w:color="auto" w:fill="FFFFFF"/>
          <w:lang w:val="en-US" w:eastAsia="zh-CN"/>
        </w:rPr>
      </w:pPr>
      <w:r>
        <w:rPr>
          <w:rFonts w:hint="eastAsia" w:ascii="仿宋" w:hAnsi="仿宋" w:eastAsia="仿宋"/>
          <w:b w:val="0"/>
          <w:i w:val="0"/>
          <w:snapToGrid/>
          <w:color w:val="000000"/>
          <w:sz w:val="32"/>
          <w:shd w:val="clear" w:color="auto" w:fill="FFFFFF"/>
          <w:lang w:val="en-US" w:eastAsia="zh-CN"/>
        </w:rPr>
        <w:t xml:space="preserve">  </w:t>
      </w:r>
    </w:p>
    <w:p>
      <w:pPr>
        <w:shd w:val="solid" w:color="FFFFFF" w:fill="auto"/>
        <w:kinsoku/>
        <w:autoSpaceDE/>
        <w:autoSpaceDN w:val="0"/>
        <w:spacing w:line="330" w:lineRule="atLeast"/>
        <w:ind w:firstLine="3846" w:firstLineChars="1202"/>
        <w:jc w:val="both"/>
        <w:rPr>
          <w:rFonts w:hint="eastAsia" w:ascii="仿宋" w:hAnsi="仿宋" w:eastAsia="仿宋"/>
          <w:b w:val="0"/>
          <w:i w:val="0"/>
          <w:snapToGrid/>
          <w:color w:val="000000"/>
          <w:sz w:val="32"/>
          <w:shd w:val="clear" w:color="auto" w:fill="FFFFFF"/>
          <w:lang w:val="en-US" w:eastAsia="zh-CN"/>
        </w:rPr>
      </w:pPr>
      <w:r>
        <w:rPr>
          <w:rFonts w:hint="eastAsia" w:ascii="仿宋" w:hAnsi="仿宋" w:eastAsia="仿宋"/>
          <w:b w:val="0"/>
          <w:i w:val="0"/>
          <w:snapToGrid/>
          <w:color w:val="000000"/>
          <w:sz w:val="32"/>
          <w:shd w:val="clear" w:color="auto" w:fill="FFFFFF"/>
          <w:lang w:val="en-US" w:eastAsia="zh-CN"/>
        </w:rPr>
        <w:t xml:space="preserve"> 铁东区住房和城乡建设局</w:t>
      </w:r>
    </w:p>
    <w:p>
      <w:pPr>
        <w:shd w:val="solid" w:color="FFFFFF" w:fill="auto"/>
        <w:kinsoku/>
        <w:autoSpaceDE/>
        <w:autoSpaceDN w:val="0"/>
        <w:spacing w:line="330" w:lineRule="atLeast"/>
        <w:ind w:firstLine="4800" w:firstLineChars="1500"/>
        <w:jc w:val="both"/>
        <w:rPr>
          <w:rFonts w:hint="eastAsia" w:ascii="仿宋" w:hAnsi="仿宋" w:eastAsia="仿宋"/>
          <w:b w:val="0"/>
          <w:i w:val="0"/>
          <w:snapToGrid/>
          <w:color w:val="000000"/>
          <w:sz w:val="32"/>
          <w:shd w:val="clear" w:color="auto" w:fill="FFFFFF"/>
          <w:lang w:val="en-US" w:eastAsia="zh-CN"/>
        </w:rPr>
      </w:pPr>
      <w:r>
        <w:rPr>
          <w:rFonts w:hint="eastAsia" w:ascii="仿宋" w:hAnsi="仿宋" w:eastAsia="仿宋"/>
          <w:b w:val="0"/>
          <w:i w:val="0"/>
          <w:snapToGrid/>
          <w:color w:val="000000"/>
          <w:sz w:val="32"/>
          <w:shd w:val="clear" w:color="auto" w:fill="FFFFFF"/>
          <w:lang w:val="en-US" w:eastAsia="zh-CN"/>
        </w:rPr>
        <w:t>2020年5月11日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525FF"/>
    <w:rsid w:val="2FED075A"/>
    <w:rsid w:val="6AB5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2020-04-15T02:09:00Z</dcterms:created>
  <dc:creator>阳光下的白鸽</dc:creator>
  <cp:lastModifiedBy>阳光下的白鸽</cp:lastModifiedBy>
  <cp:lastPrinted>2020-05-11T01:52:03Z</cp:lastPrinted>
  <dcterms:modified xsi:type="dcterms:W3CDTF">2020-05-11T05:50:28Z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