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841" w:type="dxa"/>
        <w:tblInd w:w="93" w:type="dxa"/>
        <w:tblLayout w:type="fixed"/>
        <w:tblCellMar>
          <w:top w:w="0" w:type="dxa"/>
          <w:left w:w="108" w:type="dxa"/>
          <w:bottom w:w="0" w:type="dxa"/>
          <w:right w:w="108" w:type="dxa"/>
        </w:tblCellMar>
      </w:tblPr>
      <w:tblGrid>
        <w:gridCol w:w="880"/>
        <w:gridCol w:w="3370"/>
        <w:gridCol w:w="4491"/>
        <w:gridCol w:w="3194"/>
        <w:gridCol w:w="1906"/>
      </w:tblGrid>
      <w:tr>
        <w:tblPrEx>
          <w:tblCellMar>
            <w:top w:w="0" w:type="dxa"/>
            <w:left w:w="108" w:type="dxa"/>
            <w:bottom w:w="0" w:type="dxa"/>
            <w:right w:w="108" w:type="dxa"/>
          </w:tblCellMar>
        </w:tblPrEx>
        <w:trPr>
          <w:trHeight w:val="580" w:hRule="atLeast"/>
        </w:trPr>
        <w:tc>
          <w:tcPr>
            <w:tcW w:w="13841" w:type="dxa"/>
            <w:gridSpan w:val="5"/>
            <w:vMerge w:val="restart"/>
            <w:tcBorders>
              <w:top w:val="nil"/>
              <w:left w:val="nil"/>
              <w:bottom w:val="single" w:color="000000" w:sz="4" w:space="0"/>
              <w:right w:val="nil"/>
            </w:tcBorders>
            <w:vAlign w:val="center"/>
          </w:tcPr>
          <w:p>
            <w:pPr>
              <w:spacing w:line="580" w:lineRule="exact"/>
              <w:jc w:val="center"/>
              <w:rPr>
                <w:rFonts w:hint="eastAsia" w:ascii="方正小标宋简体" w:hAnsi="方正公文小标宋" w:eastAsia="方正小标宋简体" w:cs="方正公文小标宋"/>
                <w:color w:val="000000"/>
                <w:sz w:val="40"/>
                <w:szCs w:val="40"/>
              </w:rPr>
            </w:pPr>
            <w:r>
              <w:rPr>
                <w:rFonts w:hint="eastAsia" w:ascii="方正小标宋简体" w:hAnsi="方正公文小标宋" w:eastAsia="方正小标宋简体" w:cs="方正公文小标宋"/>
                <w:color w:val="000000"/>
                <w:kern w:val="0"/>
                <w:sz w:val="40"/>
                <w:szCs w:val="40"/>
                <w:lang w:val="en-US" w:eastAsia="zh-CN"/>
              </w:rPr>
              <w:t>城东乡</w:t>
            </w:r>
            <w:r>
              <w:rPr>
                <w:rFonts w:hint="eastAsia" w:ascii="方正小标宋简体" w:hAnsi="方正公文小标宋" w:eastAsia="方正小标宋简体" w:cs="方正公文小标宋"/>
                <w:color w:val="000000"/>
                <w:kern w:val="0"/>
                <w:sz w:val="40"/>
                <w:szCs w:val="40"/>
              </w:rPr>
              <w:t>行政执法轻微违法违规行为不予处罚事项清单</w:t>
            </w:r>
          </w:p>
        </w:tc>
      </w:tr>
      <w:tr>
        <w:tblPrEx>
          <w:tblCellMar>
            <w:top w:w="0" w:type="dxa"/>
            <w:left w:w="108" w:type="dxa"/>
            <w:bottom w:w="0" w:type="dxa"/>
            <w:right w:w="108" w:type="dxa"/>
          </w:tblCellMar>
        </w:tblPrEx>
        <w:trPr>
          <w:trHeight w:val="624" w:hRule="atLeast"/>
        </w:trPr>
        <w:tc>
          <w:tcPr>
            <w:tcW w:w="13841" w:type="dxa"/>
            <w:gridSpan w:val="5"/>
            <w:vMerge w:val="continue"/>
            <w:tcBorders>
              <w:top w:val="single" w:color="000000" w:sz="4" w:space="0"/>
              <w:left w:val="nil"/>
              <w:bottom w:val="single" w:color="000000" w:sz="4" w:space="0"/>
              <w:right w:val="nil"/>
            </w:tcBorders>
            <w:vAlign w:val="center"/>
          </w:tcPr>
          <w:p>
            <w:pPr>
              <w:jc w:val="center"/>
              <w:rPr>
                <w:rFonts w:ascii="方正公文小标宋" w:hAnsi="方正公文小标宋" w:eastAsia="方正公文小标宋" w:cs="方正公文小标宋"/>
                <w:color w:val="000000"/>
                <w:sz w:val="40"/>
                <w:szCs w:val="40"/>
              </w:rPr>
            </w:pPr>
          </w:p>
        </w:tc>
      </w:tr>
      <w:tr>
        <w:tblPrEx>
          <w:tblCellMar>
            <w:top w:w="0" w:type="dxa"/>
            <w:left w:w="108" w:type="dxa"/>
            <w:bottom w:w="0" w:type="dxa"/>
            <w:right w:w="108" w:type="dxa"/>
          </w:tblCellMar>
        </w:tblPrEx>
        <w:trPr>
          <w:trHeight w:val="37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序号</w:t>
            </w:r>
          </w:p>
        </w:tc>
        <w:tc>
          <w:tcPr>
            <w:tcW w:w="3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处罚事项名称</w:t>
            </w:r>
          </w:p>
        </w:tc>
        <w:tc>
          <w:tcPr>
            <w:tcW w:w="4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免予处罚的情形</w:t>
            </w: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免予处罚的依据</w:t>
            </w:r>
          </w:p>
        </w:tc>
        <w:tc>
          <w:tcPr>
            <w:tcW w:w="1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配套监管措施</w:t>
            </w:r>
          </w:p>
        </w:tc>
      </w:tr>
      <w:tr>
        <w:tblPrEx>
          <w:tblCellMar>
            <w:top w:w="0" w:type="dxa"/>
            <w:left w:w="108" w:type="dxa"/>
            <w:bottom w:w="0" w:type="dxa"/>
            <w:right w:w="108" w:type="dxa"/>
          </w:tblCellMar>
        </w:tblPrEx>
        <w:trPr>
          <w:trHeight w:val="187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1</w:t>
            </w:r>
          </w:p>
        </w:tc>
        <w:tc>
          <w:tcPr>
            <w:tcW w:w="3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对市容环境责任区的责任人未履行清扫保洁责任的处罚</w:t>
            </w:r>
          </w:p>
        </w:tc>
        <w:tc>
          <w:tcPr>
            <w:tcW w:w="4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《城市市容和环境卫生管理条例》（国务院令101号）</w:t>
            </w:r>
          </w:p>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第二十三条：按国家行政建制设立的市的主要街道、广场和公共水域的环境卫生，由环境卫生专业单位负责。居住区、街巷等地方，由街道办事处负责组织专人清扫保洁。</w:t>
            </w:r>
          </w:p>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第二十四条：飞机场、火车站、公共汽车始末站、港口、影剧院、博物馆、展览馆、纪念馆、体育馆（场）和公园等公共场所，由本单位负责清扫保洁。</w:t>
            </w:r>
          </w:p>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第二十五条：机关、团体、部队、企事业单位，应当按照城市人民政府市容环境卫生行政主管部门划分的卫生责任区负责清扫保洁。</w:t>
            </w:r>
          </w:p>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第二十六条：城市集贸市场，由主管部门负责组织专人清扫保洁。各种摊点，由从业者负责清扫保洁。</w:t>
            </w:r>
          </w:p>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第三十四条：有下列行为这一者，城市人民政府市容环境卫生行政主管部门或者其委托的单位除责令其纠正违法行为、采取补救措施外，可以并处警告、罚款：（五）不履行卫生责任区清扫保洁义务或者不按规定清运、处理垃圾和粪便的；</w:t>
            </w:r>
          </w:p>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《吉林省城市市容和环境卫生管理条例》（2008年11月28日吉林省第十一届人民代表大会常务委员会第七次会议通过）</w:t>
            </w:r>
          </w:p>
          <w:p>
            <w:pPr>
              <w:widowControl/>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第十五条:责任人应当保证责任区符合国家或者本地城市容貌标准、城市环境卫生质量标准,保持环境卫生设施整洁完好。对责任区内发生的损害市容和环境卫生行为,责任人应当劝阻、制止,或者报请城市市容和环境卫生行政主管部门处理。</w:t>
            </w:r>
          </w:p>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18"/>
                <w:szCs w:val="18"/>
              </w:rPr>
              <w:t>第五十八条：违反本条例第十五条规定,责任区的责任人未履行清扫保洁责任的,由城市市容和环境卫生行政主管部门予以警告、责令限期改正;逾期不改正的,处以二百元以上一千元以下罚款。</w:t>
            </w: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tc>
        <w:tc>
          <w:tcPr>
            <w:tcW w:w="1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说服教育</w:t>
            </w:r>
          </w:p>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行政约谈</w:t>
            </w:r>
          </w:p>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行政指导</w:t>
            </w:r>
          </w:p>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行政回访</w:t>
            </w:r>
          </w:p>
        </w:tc>
      </w:tr>
      <w:tr>
        <w:tblPrEx>
          <w:tblCellMar>
            <w:top w:w="0" w:type="dxa"/>
            <w:left w:w="108" w:type="dxa"/>
            <w:bottom w:w="0" w:type="dxa"/>
            <w:right w:w="108" w:type="dxa"/>
          </w:tblCellMar>
        </w:tblPrEx>
        <w:trPr>
          <w:trHeight w:val="1875" w:hRule="atLeast"/>
        </w:trPr>
        <w:tc>
          <w:tcPr>
            <w:tcW w:w="1384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 xml:space="preserve">  说明：配套监管措施主要是指法律风险防控预先提示、违法行为预警、说服教育、行政建议、行政指导、行政约谈、行政回访等柔性执法方式。</w:t>
            </w:r>
          </w:p>
        </w:tc>
      </w:tr>
    </w:tbl>
    <w:p>
      <w:pPr>
        <w:pStyle w:val="2"/>
        <w:rPr>
          <w:rFonts w:ascii="仿宋_GB2312" w:hAnsi="仿宋_GB2312" w:cs="仿宋_GB2312"/>
          <w:szCs w:val="32"/>
        </w:rPr>
      </w:pPr>
    </w:p>
    <w:p>
      <w:pPr>
        <w:pStyle w:val="2"/>
        <w:rPr>
          <w:rFonts w:ascii="仿宋_GB2312" w:hAnsi="仿宋_GB2312" w:cs="仿宋_GB2312"/>
          <w:szCs w:val="32"/>
        </w:rPr>
      </w:pPr>
    </w:p>
    <w:p>
      <w:pPr>
        <w:pStyle w:val="5"/>
        <w:widowControl/>
        <w:spacing w:beforeAutospacing="0" w:afterAutospacing="0" w:line="26" w:lineRule="atLeast"/>
        <w:jc w:val="both"/>
        <w:rPr>
          <w:rFonts w:ascii="仿宋" w:hAnsi="仿宋" w:eastAsia="仿宋" w:cs="仿宋"/>
          <w:color w:val="000000"/>
          <w:sz w:val="28"/>
          <w:szCs w:val="28"/>
        </w:rPr>
      </w:pPr>
    </w:p>
    <w:p>
      <w:pPr>
        <w:pStyle w:val="5"/>
        <w:widowControl/>
        <w:spacing w:beforeAutospacing="0" w:afterAutospacing="0" w:line="26" w:lineRule="atLeast"/>
        <w:jc w:val="both"/>
        <w:rPr>
          <w:rFonts w:ascii="仿宋" w:hAnsi="仿宋" w:eastAsia="仿宋" w:cs="仿宋"/>
          <w:color w:val="000000"/>
          <w:sz w:val="28"/>
          <w:szCs w:val="28"/>
        </w:rPr>
      </w:pPr>
    </w:p>
    <w:p>
      <w:pPr>
        <w:pStyle w:val="5"/>
        <w:widowControl/>
        <w:spacing w:beforeAutospacing="0" w:afterAutospacing="0" w:line="26" w:lineRule="atLeast"/>
        <w:rPr>
          <w:rFonts w:ascii="仿宋" w:hAnsi="仿宋" w:eastAsia="仿宋" w:cs="仿宋"/>
          <w:color w:val="000000"/>
          <w:sz w:val="28"/>
          <w:szCs w:val="28"/>
        </w:rPr>
      </w:pPr>
    </w:p>
    <w:tbl>
      <w:tblPr>
        <w:tblStyle w:val="6"/>
        <w:tblW w:w="13841" w:type="dxa"/>
        <w:tblInd w:w="93" w:type="dxa"/>
        <w:tblLayout w:type="fixed"/>
        <w:tblCellMar>
          <w:top w:w="0" w:type="dxa"/>
          <w:left w:w="108" w:type="dxa"/>
          <w:bottom w:w="0" w:type="dxa"/>
          <w:right w:w="108" w:type="dxa"/>
        </w:tblCellMar>
      </w:tblPr>
      <w:tblGrid>
        <w:gridCol w:w="879"/>
        <w:gridCol w:w="3364"/>
        <w:gridCol w:w="4488"/>
        <w:gridCol w:w="3188"/>
        <w:gridCol w:w="1902"/>
        <w:gridCol w:w="20"/>
      </w:tblGrid>
      <w:tr>
        <w:tblPrEx>
          <w:tblCellMar>
            <w:top w:w="0" w:type="dxa"/>
            <w:left w:w="108" w:type="dxa"/>
            <w:bottom w:w="0" w:type="dxa"/>
            <w:right w:w="108" w:type="dxa"/>
          </w:tblCellMar>
        </w:tblPrEx>
        <w:trPr>
          <w:gridAfter w:val="1"/>
          <w:wAfter w:w="20" w:type="dxa"/>
          <w:trHeight w:val="624" w:hRule="atLeast"/>
        </w:trPr>
        <w:tc>
          <w:tcPr>
            <w:tcW w:w="13821" w:type="dxa"/>
            <w:gridSpan w:val="5"/>
            <w:vMerge w:val="restart"/>
            <w:tcBorders>
              <w:top w:val="nil"/>
              <w:left w:val="nil"/>
              <w:bottom w:val="single" w:color="000000" w:sz="4" w:space="0"/>
              <w:right w:val="nil"/>
            </w:tcBorders>
            <w:vAlign w:val="center"/>
          </w:tcPr>
          <w:p>
            <w:pPr>
              <w:widowControl/>
              <w:jc w:val="center"/>
              <w:textAlignment w:val="center"/>
              <w:rPr>
                <w:rFonts w:hint="eastAsia" w:ascii="方正小标宋简体" w:hAnsi="方正公文小标宋" w:eastAsia="方正小标宋简体" w:cs="方正公文小标宋"/>
                <w:color w:val="000000"/>
                <w:sz w:val="40"/>
                <w:szCs w:val="40"/>
              </w:rPr>
            </w:pPr>
            <w:r>
              <w:rPr>
                <w:rFonts w:hint="eastAsia" w:ascii="方正小标宋简体" w:hAnsi="方正公文小标宋" w:eastAsia="方正小标宋简体" w:cs="方正公文小标宋"/>
                <w:color w:val="000000"/>
                <w:kern w:val="0"/>
                <w:sz w:val="40"/>
                <w:szCs w:val="40"/>
                <w:lang w:val="en-US" w:eastAsia="zh-CN"/>
              </w:rPr>
              <w:t>城东乡</w:t>
            </w:r>
            <w:r>
              <w:rPr>
                <w:rFonts w:hint="eastAsia" w:ascii="方正小标宋简体" w:hAnsi="方正公文小标宋" w:eastAsia="方正小标宋简体" w:cs="方正公文小标宋"/>
                <w:color w:val="000000"/>
                <w:kern w:val="0"/>
                <w:sz w:val="40"/>
                <w:szCs w:val="40"/>
              </w:rPr>
              <w:t>行政执法从轻处罚事项清单</w:t>
            </w:r>
          </w:p>
        </w:tc>
      </w:tr>
      <w:tr>
        <w:tblPrEx>
          <w:tblCellMar>
            <w:top w:w="0" w:type="dxa"/>
            <w:left w:w="108" w:type="dxa"/>
            <w:bottom w:w="0" w:type="dxa"/>
            <w:right w:w="108" w:type="dxa"/>
          </w:tblCellMar>
        </w:tblPrEx>
        <w:trPr>
          <w:gridAfter w:val="1"/>
          <w:wAfter w:w="20" w:type="dxa"/>
          <w:trHeight w:val="624" w:hRule="atLeast"/>
        </w:trPr>
        <w:tc>
          <w:tcPr>
            <w:tcW w:w="13821" w:type="dxa"/>
            <w:gridSpan w:val="5"/>
            <w:vMerge w:val="continue"/>
            <w:tcBorders>
              <w:top w:val="single" w:color="000000" w:sz="4" w:space="0"/>
              <w:left w:val="nil"/>
              <w:bottom w:val="single" w:color="000000" w:sz="4" w:space="0"/>
              <w:right w:val="nil"/>
            </w:tcBorders>
            <w:vAlign w:val="center"/>
          </w:tcPr>
          <w:p>
            <w:pPr>
              <w:jc w:val="center"/>
              <w:rPr>
                <w:rFonts w:ascii="方正公文小标宋" w:hAnsi="方正公文小标宋" w:eastAsia="方正公文小标宋" w:cs="方正公文小标宋"/>
                <w:color w:val="000000"/>
                <w:sz w:val="40"/>
                <w:szCs w:val="40"/>
              </w:rPr>
            </w:pPr>
          </w:p>
        </w:tc>
      </w:tr>
      <w:tr>
        <w:tblPrEx>
          <w:tblCellMar>
            <w:top w:w="0" w:type="dxa"/>
            <w:left w:w="108" w:type="dxa"/>
            <w:bottom w:w="0" w:type="dxa"/>
            <w:right w:w="108" w:type="dxa"/>
          </w:tblCellMar>
        </w:tblPrEx>
        <w:trPr>
          <w:gridAfter w:val="1"/>
          <w:wAfter w:w="20" w:type="dxa"/>
          <w:trHeight w:val="375" w:hRule="atLeast"/>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序号</w:t>
            </w:r>
          </w:p>
        </w:tc>
        <w:tc>
          <w:tcPr>
            <w:tcW w:w="3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处罚事项名称</w:t>
            </w:r>
          </w:p>
        </w:tc>
        <w:tc>
          <w:tcPr>
            <w:tcW w:w="4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从轻处罚的情形</w:t>
            </w:r>
          </w:p>
        </w:tc>
        <w:tc>
          <w:tcPr>
            <w:tcW w:w="3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从轻处罚的依据</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配套监管措施</w:t>
            </w:r>
          </w:p>
        </w:tc>
      </w:tr>
      <w:tr>
        <w:tblPrEx>
          <w:tblCellMar>
            <w:top w:w="0" w:type="dxa"/>
            <w:left w:w="108" w:type="dxa"/>
            <w:bottom w:w="0" w:type="dxa"/>
            <w:right w:w="108" w:type="dxa"/>
          </w:tblCellMar>
        </w:tblPrEx>
        <w:trPr>
          <w:gridAfter w:val="1"/>
          <w:wAfter w:w="20" w:type="dxa"/>
          <w:trHeight w:val="760" w:hRule="atLeast"/>
        </w:trPr>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2</w:t>
            </w:r>
          </w:p>
        </w:tc>
        <w:tc>
          <w:tcPr>
            <w:tcW w:w="3364"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将落叶、纸屑、尘土等垃圾扫入下水道、绿地和河沟内的，将淤泥、污物直接堆放在城市道路上，或者未即时清理枝叶、泥土等废弃物</w:t>
            </w:r>
          </w:p>
        </w:tc>
        <w:tc>
          <w:tcPr>
            <w:tcW w:w="4488"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将落叶、纸屑、尘土等垃圾扫入下水道、绿地和河沟内的，将淤泥、污物直接堆放在城市道路上的，或者未即时清理枝叶、泥土等废弃物，责令改正后立即改正到位，未造成危害后果。</w:t>
            </w:r>
          </w:p>
        </w:tc>
        <w:tc>
          <w:tcPr>
            <w:tcW w:w="3188"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《中华人民共和国行政处罚法》第三十二条</w:t>
            </w:r>
          </w:p>
        </w:tc>
        <w:tc>
          <w:tcPr>
            <w:tcW w:w="190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法律风险防控预先提示</w:t>
            </w:r>
          </w:p>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说服教育</w:t>
            </w:r>
          </w:p>
        </w:tc>
      </w:tr>
      <w:tr>
        <w:tblPrEx>
          <w:tblCellMar>
            <w:top w:w="0" w:type="dxa"/>
            <w:left w:w="108" w:type="dxa"/>
            <w:bottom w:w="0" w:type="dxa"/>
            <w:right w:w="108" w:type="dxa"/>
          </w:tblCellMar>
        </w:tblPrEx>
        <w:trPr>
          <w:trHeight w:val="270" w:hRule="atLeast"/>
        </w:trPr>
        <w:tc>
          <w:tcPr>
            <w:tcW w:w="1384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 xml:space="preserve">  说明：配套监管措施主要是指法律风险防控预先提示、违法行为预警、说服教育、行政建议、行政指导、行政约谈、行政回访等柔性执法方式。</w:t>
            </w:r>
          </w:p>
        </w:tc>
      </w:tr>
    </w:tbl>
    <w:p>
      <w:pPr>
        <w:pStyle w:val="2"/>
        <w:rPr>
          <w:rFonts w:hint="eastAsia" w:ascii="方正黑体_GBK" w:hAnsi="方正黑体_GBK" w:eastAsia="方正黑体_GBK" w:cs="方正黑体_GBK"/>
          <w:color w:val="000000"/>
          <w:sz w:val="40"/>
          <w:szCs w:val="40"/>
        </w:rPr>
      </w:pPr>
    </w:p>
    <w:p>
      <w:pPr>
        <w:pStyle w:val="2"/>
        <w:rPr>
          <w:rFonts w:hint="eastAsia" w:ascii="宋体" w:hAnsi="宋体" w:eastAsia="宋体" w:cs="方正黑体_GBK"/>
          <w:color w:val="000000"/>
          <w:szCs w:val="32"/>
        </w:rPr>
      </w:pPr>
    </w:p>
    <w:p>
      <w:pPr>
        <w:widowControl/>
        <w:jc w:val="center"/>
        <w:textAlignment w:val="center"/>
        <w:rPr>
          <w:rFonts w:hint="eastAsia" w:ascii="方正小标宋简体" w:hAnsi="方正公文小标宋" w:eastAsia="方正小标宋简体" w:cs="方正公文小标宋"/>
          <w:color w:val="000000"/>
          <w:kern w:val="0"/>
          <w:sz w:val="40"/>
          <w:szCs w:val="40"/>
        </w:rPr>
      </w:pPr>
      <w:r>
        <w:rPr>
          <w:rFonts w:hint="eastAsia" w:ascii="方正小标宋简体" w:hAnsi="方正公文小标宋" w:eastAsia="方正小标宋简体" w:cs="方正公文小标宋"/>
          <w:color w:val="000000"/>
          <w:kern w:val="0"/>
          <w:sz w:val="40"/>
          <w:szCs w:val="40"/>
          <w:lang w:val="en-US" w:eastAsia="zh-CN"/>
        </w:rPr>
        <w:t>城东乡</w:t>
      </w:r>
      <w:r>
        <w:rPr>
          <w:rFonts w:hint="eastAsia" w:ascii="方正小标宋简体" w:hAnsi="方正公文小标宋" w:eastAsia="方正小标宋简体" w:cs="方正公文小标宋"/>
          <w:color w:val="000000"/>
          <w:kern w:val="0"/>
          <w:sz w:val="40"/>
          <w:szCs w:val="40"/>
        </w:rPr>
        <w:t>行政执法减轻处罚事项清单</w:t>
      </w:r>
    </w:p>
    <w:tbl>
      <w:tblPr>
        <w:tblStyle w:val="6"/>
        <w:tblW w:w="13841" w:type="dxa"/>
        <w:tblInd w:w="93" w:type="dxa"/>
        <w:tblLayout w:type="fixed"/>
        <w:tblCellMar>
          <w:top w:w="0" w:type="dxa"/>
          <w:left w:w="108" w:type="dxa"/>
          <w:bottom w:w="0" w:type="dxa"/>
          <w:right w:w="108" w:type="dxa"/>
        </w:tblCellMar>
      </w:tblPr>
      <w:tblGrid>
        <w:gridCol w:w="879"/>
        <w:gridCol w:w="3365"/>
        <w:gridCol w:w="3981"/>
        <w:gridCol w:w="3654"/>
        <w:gridCol w:w="1962"/>
      </w:tblGrid>
      <w:tr>
        <w:tblPrEx>
          <w:tblCellMar>
            <w:top w:w="0" w:type="dxa"/>
            <w:left w:w="108" w:type="dxa"/>
            <w:bottom w:w="0" w:type="dxa"/>
            <w:right w:w="108" w:type="dxa"/>
          </w:tblCellMar>
        </w:tblPrEx>
        <w:trPr>
          <w:trHeight w:val="375" w:hRule="atLeast"/>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序号</w:t>
            </w:r>
          </w:p>
        </w:tc>
        <w:tc>
          <w:tcPr>
            <w:tcW w:w="3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处罚事项名称</w:t>
            </w:r>
          </w:p>
        </w:tc>
        <w:tc>
          <w:tcPr>
            <w:tcW w:w="3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减轻处罚的情形</w:t>
            </w:r>
          </w:p>
        </w:tc>
        <w:tc>
          <w:tcPr>
            <w:tcW w:w="36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减轻处罚的依据</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配套监管措施</w:t>
            </w:r>
          </w:p>
        </w:tc>
      </w:tr>
      <w:tr>
        <w:tblPrEx>
          <w:tblCellMar>
            <w:top w:w="0" w:type="dxa"/>
            <w:left w:w="108" w:type="dxa"/>
            <w:bottom w:w="0" w:type="dxa"/>
            <w:right w:w="108" w:type="dxa"/>
          </w:tblCellMar>
        </w:tblPrEx>
        <w:trPr>
          <w:trHeight w:val="1140" w:hRule="atLeast"/>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1</w:t>
            </w:r>
          </w:p>
        </w:tc>
        <w:tc>
          <w:tcPr>
            <w:tcW w:w="33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未将生活垃圾投放到指定的垃圾容器或者收集场所的或者不按照规定的地点堆放、倾倒装饰、装修房屋产生的建筑垃圾和废弃家具、家用电器等大件垃圾的</w:t>
            </w:r>
          </w:p>
        </w:tc>
        <w:tc>
          <w:tcPr>
            <w:tcW w:w="39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未将生活垃圾投放到指定的垃圾容器或者收集场所的或者不按照规定的地点堆放、倾倒装饰、装修房屋产生的建筑垃圾和废弃家具、家用电器等大件垃圾，经责令改正后，能够积极主动清理垃圾消除污染后果的</w:t>
            </w:r>
          </w:p>
        </w:tc>
        <w:tc>
          <w:tcPr>
            <w:tcW w:w="36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《中华人民共和国行政处罚法》第三十二条、</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说服教育</w:t>
            </w:r>
          </w:p>
        </w:tc>
      </w:tr>
      <w:tr>
        <w:tblPrEx>
          <w:tblCellMar>
            <w:top w:w="0" w:type="dxa"/>
            <w:left w:w="108" w:type="dxa"/>
            <w:bottom w:w="0" w:type="dxa"/>
            <w:right w:w="108" w:type="dxa"/>
          </w:tblCellMar>
        </w:tblPrEx>
        <w:trPr>
          <w:trHeight w:val="1500" w:hRule="atLeast"/>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2</w:t>
            </w:r>
          </w:p>
        </w:tc>
        <w:tc>
          <w:tcPr>
            <w:tcW w:w="33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擅自在街道两侧和公共场地堆放物料,影响市容的</w:t>
            </w:r>
          </w:p>
        </w:tc>
        <w:tc>
          <w:tcPr>
            <w:tcW w:w="39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擅自在街道两侧和公共场地堆放物料影响市容，经责令限期清理后能当场清理完毕的</w:t>
            </w:r>
          </w:p>
        </w:tc>
        <w:tc>
          <w:tcPr>
            <w:tcW w:w="36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《中华人民共和国行政处罚法》第三十二条、</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说服教育</w:t>
            </w:r>
          </w:p>
          <w:p>
            <w:pPr>
              <w:widowControl/>
              <w:spacing w:line="400" w:lineRule="exact"/>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行政回访</w:t>
            </w:r>
          </w:p>
        </w:tc>
      </w:tr>
      <w:tr>
        <w:tblPrEx>
          <w:tblCellMar>
            <w:top w:w="0" w:type="dxa"/>
            <w:left w:w="108" w:type="dxa"/>
            <w:bottom w:w="0" w:type="dxa"/>
            <w:right w:w="108" w:type="dxa"/>
          </w:tblCellMar>
        </w:tblPrEx>
        <w:trPr>
          <w:trHeight w:val="624" w:hRule="atLeast"/>
        </w:trPr>
        <w:tc>
          <w:tcPr>
            <w:tcW w:w="13841"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 xml:space="preserve">  说明：配套监管措施主要是指法律风险防控预先提示、违法行为预警、说服教育、行政建议、行政指导、行政约谈、行政回访等柔性执法方式。</w:t>
            </w:r>
          </w:p>
        </w:tc>
      </w:tr>
      <w:tr>
        <w:tblPrEx>
          <w:tblCellMar>
            <w:top w:w="0" w:type="dxa"/>
            <w:left w:w="108" w:type="dxa"/>
            <w:bottom w:w="0" w:type="dxa"/>
            <w:right w:w="108" w:type="dxa"/>
          </w:tblCellMar>
        </w:tblPrEx>
        <w:trPr>
          <w:trHeight w:val="624" w:hRule="atLeast"/>
        </w:trPr>
        <w:tc>
          <w:tcPr>
            <w:tcW w:w="13841"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color w:val="000000"/>
                <w:sz w:val="28"/>
                <w:szCs w:val="28"/>
              </w:rPr>
            </w:pPr>
          </w:p>
        </w:tc>
      </w:tr>
    </w:tbl>
    <w:p>
      <w:pPr>
        <w:pStyle w:val="2"/>
        <w:rPr>
          <w:rFonts w:hint="eastAsia"/>
        </w:rPr>
      </w:pPr>
    </w:p>
    <w:p>
      <w:pPr>
        <w:pStyle w:val="2"/>
        <w:jc w:val="center"/>
        <w:rPr>
          <w:rFonts w:hint="eastAsia" w:ascii="方正小标宋简体" w:hAnsi="方正公文小标宋" w:eastAsia="方正小标宋简体" w:cs="方正公文小标宋"/>
          <w:color w:val="000000"/>
          <w:sz w:val="44"/>
          <w:szCs w:val="44"/>
          <w:lang w:val="en-US" w:eastAsia="zh-CN"/>
        </w:rPr>
      </w:pPr>
    </w:p>
    <w:p>
      <w:pPr>
        <w:pStyle w:val="2"/>
        <w:jc w:val="center"/>
        <w:rPr>
          <w:rFonts w:hint="eastAsia" w:ascii="方正小标宋简体" w:hAnsi="方正公文小标宋" w:eastAsia="方正小标宋简体" w:cs="方正公文小标宋"/>
          <w:color w:val="000000"/>
          <w:sz w:val="44"/>
          <w:szCs w:val="44"/>
        </w:rPr>
      </w:pPr>
      <w:bookmarkStart w:id="0" w:name="_GoBack"/>
      <w:bookmarkEnd w:id="0"/>
      <w:r>
        <w:rPr>
          <w:rFonts w:hint="eastAsia" w:ascii="方正小标宋简体" w:hAnsi="方正公文小标宋" w:eastAsia="方正小标宋简体" w:cs="方正公文小标宋"/>
          <w:color w:val="000000"/>
          <w:sz w:val="44"/>
          <w:szCs w:val="44"/>
          <w:lang w:val="en-US" w:eastAsia="zh-CN"/>
        </w:rPr>
        <w:t>城东乡</w:t>
      </w:r>
      <w:r>
        <w:rPr>
          <w:rFonts w:hint="eastAsia" w:ascii="方正小标宋简体" w:hAnsi="方正公文小标宋" w:eastAsia="方正小标宋简体" w:cs="方正公文小标宋"/>
          <w:color w:val="000000"/>
          <w:sz w:val="44"/>
          <w:szCs w:val="44"/>
        </w:rPr>
        <w:t>行政执法轻微违法行为不予实施行政强制措施事项清单</w:t>
      </w:r>
    </w:p>
    <w:p>
      <w:pPr>
        <w:pStyle w:val="2"/>
        <w:rPr>
          <w:rFonts w:ascii="宋体" w:hAnsi="宋体" w:eastAsia="宋体"/>
          <w:szCs w:val="32"/>
        </w:rPr>
      </w:pPr>
    </w:p>
    <w:tbl>
      <w:tblPr>
        <w:tblStyle w:val="6"/>
        <w:tblW w:w="13841" w:type="dxa"/>
        <w:tblInd w:w="93" w:type="dxa"/>
        <w:tblLayout w:type="fixed"/>
        <w:tblCellMar>
          <w:top w:w="0" w:type="dxa"/>
          <w:left w:w="108" w:type="dxa"/>
          <w:bottom w:w="0" w:type="dxa"/>
          <w:right w:w="108" w:type="dxa"/>
        </w:tblCellMar>
      </w:tblPr>
      <w:tblGrid>
        <w:gridCol w:w="880"/>
        <w:gridCol w:w="3370"/>
        <w:gridCol w:w="4491"/>
        <w:gridCol w:w="3194"/>
        <w:gridCol w:w="1906"/>
      </w:tblGrid>
      <w:tr>
        <w:tblPrEx>
          <w:tblCellMar>
            <w:top w:w="0" w:type="dxa"/>
            <w:left w:w="108" w:type="dxa"/>
            <w:bottom w:w="0" w:type="dxa"/>
            <w:right w:w="108" w:type="dxa"/>
          </w:tblCellMar>
        </w:tblPrEx>
        <w:trPr>
          <w:trHeight w:val="37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序号</w:t>
            </w:r>
          </w:p>
        </w:tc>
        <w:tc>
          <w:tcPr>
            <w:tcW w:w="3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处罚事项名称</w:t>
            </w:r>
          </w:p>
        </w:tc>
        <w:tc>
          <w:tcPr>
            <w:tcW w:w="4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不予行政强制的情形</w:t>
            </w: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不予行政强制的依据</w:t>
            </w:r>
          </w:p>
        </w:tc>
        <w:tc>
          <w:tcPr>
            <w:tcW w:w="1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配套监管措施</w:t>
            </w:r>
          </w:p>
        </w:tc>
      </w:tr>
      <w:tr>
        <w:tblPrEx>
          <w:tblCellMar>
            <w:top w:w="0" w:type="dxa"/>
            <w:left w:w="108" w:type="dxa"/>
            <w:bottom w:w="0" w:type="dxa"/>
            <w:right w:w="108" w:type="dxa"/>
          </w:tblCellMar>
        </w:tblPrEx>
        <w:trPr>
          <w:trHeight w:val="187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1</w:t>
            </w:r>
          </w:p>
        </w:tc>
        <w:tc>
          <w:tcPr>
            <w:tcW w:w="3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城市管理主管部门实施</w:t>
            </w:r>
            <w:r>
              <w:rPr>
                <w:rFonts w:hint="eastAsia" w:ascii="仿宋_GB2312" w:hAnsi="宋体" w:eastAsia="仿宋_GB2312" w:cs="仿宋_GB2312"/>
                <w:color w:val="000000"/>
                <w:kern w:val="0"/>
                <w:sz w:val="28"/>
                <w:szCs w:val="28"/>
              </w:rPr>
              <w:t>的其他</w:t>
            </w:r>
            <w:r>
              <w:rPr>
                <w:rFonts w:ascii="仿宋_GB2312" w:hAnsi="宋体" w:eastAsia="仿宋_GB2312" w:cs="仿宋_GB2312"/>
                <w:color w:val="000000"/>
                <w:kern w:val="0"/>
                <w:sz w:val="28"/>
                <w:szCs w:val="28"/>
              </w:rPr>
              <w:t>行政强制</w:t>
            </w:r>
          </w:p>
        </w:tc>
        <w:tc>
          <w:tcPr>
            <w:tcW w:w="4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城市管理主管部门</w:t>
            </w:r>
            <w:r>
              <w:rPr>
                <w:rFonts w:hint="eastAsia" w:ascii="仿宋_GB2312" w:hAnsi="宋体" w:eastAsia="仿宋_GB2312" w:cs="仿宋_GB2312"/>
                <w:color w:val="000000"/>
                <w:kern w:val="0"/>
                <w:sz w:val="28"/>
                <w:szCs w:val="28"/>
              </w:rPr>
              <w:t>在</w:t>
            </w:r>
            <w:r>
              <w:rPr>
                <w:rFonts w:ascii="仿宋_GB2312" w:hAnsi="宋体" w:eastAsia="仿宋_GB2312" w:cs="仿宋_GB2312"/>
                <w:color w:val="000000"/>
                <w:kern w:val="0"/>
                <w:sz w:val="28"/>
                <w:szCs w:val="28"/>
              </w:rPr>
              <w:t>实施行政强制执行</w:t>
            </w:r>
            <w:r>
              <w:rPr>
                <w:rFonts w:hint="eastAsia" w:ascii="仿宋_GB2312" w:hAnsi="宋体" w:eastAsia="仿宋_GB2312" w:cs="仿宋_GB2312"/>
                <w:color w:val="000000"/>
                <w:kern w:val="0"/>
                <w:sz w:val="28"/>
                <w:szCs w:val="28"/>
              </w:rPr>
              <w:t>中</w:t>
            </w:r>
            <w:r>
              <w:rPr>
                <w:rFonts w:ascii="仿宋_GB2312" w:hAnsi="宋体" w:eastAsia="仿宋_GB2312" w:cs="仿宋_GB2312"/>
                <w:color w:val="000000"/>
                <w:kern w:val="0"/>
                <w:sz w:val="28"/>
                <w:szCs w:val="28"/>
              </w:rPr>
              <w:t>，在不损害公共利益和他人合法权益的情况下，当事人采取补救措施的，可以减免加处的罚款或者滞纳金。</w:t>
            </w: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《中华人民共和国行政强制法》</w:t>
            </w:r>
          </w:p>
        </w:tc>
        <w:tc>
          <w:tcPr>
            <w:tcW w:w="1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说服教育</w:t>
            </w:r>
          </w:p>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行政约谈</w:t>
            </w:r>
          </w:p>
          <w:p>
            <w:pPr>
              <w:widowControl/>
              <w:jc w:val="left"/>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行政回访</w:t>
            </w:r>
          </w:p>
        </w:tc>
      </w:tr>
      <w:tr>
        <w:tblPrEx>
          <w:tblCellMar>
            <w:top w:w="0" w:type="dxa"/>
            <w:left w:w="108" w:type="dxa"/>
            <w:bottom w:w="0" w:type="dxa"/>
            <w:right w:w="108" w:type="dxa"/>
          </w:tblCellMar>
        </w:tblPrEx>
        <w:trPr>
          <w:trHeight w:val="1875" w:hRule="atLeast"/>
        </w:trPr>
        <w:tc>
          <w:tcPr>
            <w:tcW w:w="1384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 xml:space="preserve">  说明：配套监管措施主要是指法律风险防控预先提示、违法行为预警、说服教育、行政建议、行政指导、行政约谈、行政回访等柔性执法方式。</w:t>
            </w:r>
          </w:p>
        </w:tc>
      </w:tr>
    </w:tbl>
    <w:p>
      <w:pPr>
        <w:pStyle w:val="2"/>
        <w:rPr>
          <w:rFonts w:ascii="仿宋_GB2312" w:hAnsi="仿宋_GB2312" w:cs="仿宋_GB2312"/>
          <w:szCs w:val="32"/>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00695"/>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mMyZGNkN2Y0NDcxZWEzZTFlYmE1ZDc3MDM2MDQifQ=="/>
  </w:docVars>
  <w:rsids>
    <w:rsidRoot w:val="00784B86"/>
    <w:rsid w:val="0017661F"/>
    <w:rsid w:val="00784B86"/>
    <w:rsid w:val="00846994"/>
    <w:rsid w:val="00C57E5E"/>
    <w:rsid w:val="00C72FAB"/>
    <w:rsid w:val="021A27AB"/>
    <w:rsid w:val="0374413D"/>
    <w:rsid w:val="07F97307"/>
    <w:rsid w:val="08576456"/>
    <w:rsid w:val="0A9B46A5"/>
    <w:rsid w:val="0B4D3BF1"/>
    <w:rsid w:val="0D660F9A"/>
    <w:rsid w:val="0E87741A"/>
    <w:rsid w:val="0E99714E"/>
    <w:rsid w:val="1088747A"/>
    <w:rsid w:val="1B0E2C71"/>
    <w:rsid w:val="1BC33A5C"/>
    <w:rsid w:val="1C0C422E"/>
    <w:rsid w:val="1CAC2742"/>
    <w:rsid w:val="25CC175F"/>
    <w:rsid w:val="2B6F5066"/>
    <w:rsid w:val="31554CFE"/>
    <w:rsid w:val="323E5792"/>
    <w:rsid w:val="32FC230C"/>
    <w:rsid w:val="34272982"/>
    <w:rsid w:val="34E645EB"/>
    <w:rsid w:val="34F859FF"/>
    <w:rsid w:val="35410F67"/>
    <w:rsid w:val="37C91FA2"/>
    <w:rsid w:val="37E33064"/>
    <w:rsid w:val="3B2208D8"/>
    <w:rsid w:val="3D27223A"/>
    <w:rsid w:val="3D5D7415"/>
    <w:rsid w:val="3F6853D5"/>
    <w:rsid w:val="41D659E7"/>
    <w:rsid w:val="454622B9"/>
    <w:rsid w:val="45D40490"/>
    <w:rsid w:val="46EB5A91"/>
    <w:rsid w:val="47BA5463"/>
    <w:rsid w:val="48FA020D"/>
    <w:rsid w:val="49521DF7"/>
    <w:rsid w:val="4B683B54"/>
    <w:rsid w:val="52293911"/>
    <w:rsid w:val="524349D3"/>
    <w:rsid w:val="55C45E2B"/>
    <w:rsid w:val="56981066"/>
    <w:rsid w:val="57106E4E"/>
    <w:rsid w:val="59BB7545"/>
    <w:rsid w:val="5EEC01A1"/>
    <w:rsid w:val="60E6197D"/>
    <w:rsid w:val="6162299C"/>
    <w:rsid w:val="62A768B8"/>
    <w:rsid w:val="62EC4C13"/>
    <w:rsid w:val="63CD05A1"/>
    <w:rsid w:val="67EE4F89"/>
    <w:rsid w:val="6FA62C9A"/>
    <w:rsid w:val="716254FF"/>
    <w:rsid w:val="741A18F3"/>
    <w:rsid w:val="7BC2430B"/>
    <w:rsid w:val="7C4A67DB"/>
    <w:rsid w:val="7C7D4D75"/>
    <w:rsid w:val="7F385010"/>
    <w:rsid w:val="7F4A6AF1"/>
    <w:rsid w:val="7F736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snapToGrid w:val="0"/>
    </w:pPr>
    <w:rPr>
      <w:rFonts w:ascii="Times New Roman" w:hAnsi="Times New Roman" w:eastAsia="仿宋_GB2312"/>
      <w:kern w:val="0"/>
      <w:sz w:val="32"/>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1817</Words>
  <Characters>1832</Characters>
  <Lines>14</Lines>
  <Paragraphs>4</Paragraphs>
  <TotalTime>1</TotalTime>
  <ScaleCrop>false</ScaleCrop>
  <LinksUpToDate>false</LinksUpToDate>
  <CharactersWithSpaces>1840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2023-01-16T02:38:00Z</dcterms:created>
  <dc:creator>Administrator</dc:creator>
  <cp:lastModifiedBy>Administrator</cp:lastModifiedBy>
  <cp:lastPrinted>2023-01-16T02:40:00Z</cp:lastPrinted>
  <dcterms:modified xsi:type="dcterms:W3CDTF">2023-04-19T06:41:30Z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D9DFB5F93E0F4CA58B539C02047AB714</vt:lpwstr>
  </property>
</Properties>
</file>