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44"/>
          <w:szCs w:val="44"/>
        </w:rPr>
      </w:pPr>
      <w:bookmarkStart w:id="0" w:name="_GoBack"/>
      <w:r>
        <w:rPr>
          <w:rFonts w:hint="eastAsia" w:ascii="微软雅黑" w:hAnsi="微软雅黑" w:eastAsia="微软雅黑" w:cs="微软雅黑"/>
          <w:sz w:val="44"/>
          <w:szCs w:val="44"/>
        </w:rPr>
        <w:t>铁东区</w:t>
      </w:r>
      <w:r>
        <w:rPr>
          <w:rFonts w:hint="eastAsia" w:ascii="微软雅黑" w:hAnsi="微软雅黑" w:eastAsia="微软雅黑" w:cs="微软雅黑"/>
          <w:sz w:val="44"/>
          <w:szCs w:val="44"/>
          <w:lang w:eastAsia="zh-CN"/>
        </w:rPr>
        <w:t>住建局</w:t>
      </w:r>
      <w:r>
        <w:rPr>
          <w:rFonts w:hint="eastAsia" w:ascii="微软雅黑" w:hAnsi="微软雅黑" w:eastAsia="微软雅黑" w:cs="微软雅黑"/>
          <w:sz w:val="44"/>
          <w:szCs w:val="44"/>
        </w:rPr>
        <w:t>行政执法事项清单</w:t>
      </w:r>
    </w:p>
    <w:bookmarkEnd w:id="0"/>
    <w:p>
      <w:pPr>
        <w:spacing w:line="520" w:lineRule="exact"/>
        <w:jc w:val="left"/>
        <w:rPr>
          <w:rFonts w:asciiTheme="minorEastAsia" w:hAnsiTheme="minorEastAsia" w:cstheme="minorEastAsia"/>
          <w:szCs w:val="21"/>
        </w:rPr>
      </w:pPr>
    </w:p>
    <w:p>
      <w:pPr>
        <w:spacing w:line="520" w:lineRule="exact"/>
        <w:jc w:val="left"/>
        <w:rPr>
          <w:rFonts w:asciiTheme="minorEastAsia" w:hAnsiTheme="minorEastAsia" w:cstheme="minorEastAsia"/>
          <w:szCs w:val="21"/>
        </w:rPr>
      </w:pPr>
      <w:r>
        <w:rPr>
          <w:rFonts w:hint="eastAsia" w:ascii="仿宋_GB2312" w:hAnsi="仿宋_GB2312" w:eastAsia="仿宋_GB2312" w:cs="仿宋_GB2312"/>
          <w:sz w:val="32"/>
          <w:szCs w:val="32"/>
        </w:rPr>
        <w:t>填报单位：铁东区</w:t>
      </w:r>
      <w:r>
        <w:rPr>
          <w:rFonts w:hint="eastAsia" w:ascii="仿宋_GB2312" w:hAnsi="仿宋_GB2312" w:eastAsia="仿宋_GB2312" w:cs="仿宋_GB2312"/>
          <w:sz w:val="32"/>
          <w:szCs w:val="32"/>
          <w:lang w:eastAsia="zh-CN"/>
        </w:rPr>
        <w:t>住建局</w:t>
      </w:r>
      <w:r>
        <w:rPr>
          <w:rFonts w:hint="eastAsia" w:ascii="仿宋_GB2312" w:hAnsi="仿宋_GB2312" w:eastAsia="仿宋_GB2312" w:cs="仿宋_GB2312"/>
          <w:sz w:val="32"/>
          <w:szCs w:val="32"/>
        </w:rPr>
        <w:t xml:space="preserve">  主要领导签字：</w:t>
      </w:r>
    </w:p>
    <w:tbl>
      <w:tblPr>
        <w:tblStyle w:val="5"/>
        <w:tblW w:w="1563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1778"/>
        <w:gridCol w:w="1100"/>
        <w:gridCol w:w="1078"/>
        <w:gridCol w:w="1456"/>
        <w:gridCol w:w="679"/>
        <w:gridCol w:w="745"/>
        <w:gridCol w:w="978"/>
        <w:gridCol w:w="611"/>
        <w:gridCol w:w="745"/>
        <w:gridCol w:w="856"/>
        <w:gridCol w:w="945"/>
        <w:gridCol w:w="644"/>
        <w:gridCol w:w="723"/>
        <w:gridCol w:w="1033"/>
        <w:gridCol w:w="600"/>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67"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编码</w:t>
            </w:r>
          </w:p>
        </w:tc>
        <w:tc>
          <w:tcPr>
            <w:tcW w:w="17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项目名称</w:t>
            </w:r>
          </w:p>
        </w:tc>
        <w:tc>
          <w:tcPr>
            <w:tcW w:w="11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执法类别</w:t>
            </w:r>
          </w:p>
        </w:tc>
        <w:tc>
          <w:tcPr>
            <w:tcW w:w="1078"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执法主体</w:t>
            </w:r>
          </w:p>
        </w:tc>
        <w:tc>
          <w:tcPr>
            <w:tcW w:w="1456"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承办机构</w:t>
            </w:r>
          </w:p>
        </w:tc>
        <w:tc>
          <w:tcPr>
            <w:tcW w:w="4614" w:type="dxa"/>
            <w:gridSpan w:val="6"/>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执法依据</w:t>
            </w:r>
          </w:p>
        </w:tc>
        <w:tc>
          <w:tcPr>
            <w:tcW w:w="945"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实施</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对象</w:t>
            </w:r>
          </w:p>
        </w:tc>
        <w:tc>
          <w:tcPr>
            <w:tcW w:w="1367" w:type="dxa"/>
            <w:gridSpan w:val="2"/>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办理时限</w:t>
            </w:r>
          </w:p>
        </w:tc>
        <w:tc>
          <w:tcPr>
            <w:tcW w:w="1033"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收费依据</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和标准</w:t>
            </w:r>
          </w:p>
        </w:tc>
        <w:tc>
          <w:tcPr>
            <w:tcW w:w="600" w:type="dxa"/>
            <w:vMerge w:val="restart"/>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备注</w:t>
            </w: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67" w:type="dxa"/>
            <w:vMerge w:val="continue"/>
            <w:vAlign w:val="center"/>
          </w:tcPr>
          <w:p>
            <w:pPr>
              <w:spacing w:line="400" w:lineRule="exact"/>
              <w:ind w:firstLine="507"/>
              <w:jc w:val="center"/>
              <w:rPr>
                <w:rFonts w:asciiTheme="minorEastAsia" w:hAnsiTheme="minorEastAsia" w:cstheme="minorEastAsia"/>
                <w:szCs w:val="21"/>
              </w:rPr>
            </w:pPr>
          </w:p>
        </w:tc>
        <w:tc>
          <w:tcPr>
            <w:tcW w:w="1778" w:type="dxa"/>
            <w:vMerge w:val="continue"/>
            <w:vAlign w:val="center"/>
          </w:tcPr>
          <w:p>
            <w:pPr>
              <w:spacing w:line="400" w:lineRule="exact"/>
              <w:jc w:val="center"/>
              <w:rPr>
                <w:rFonts w:asciiTheme="minorEastAsia" w:hAnsiTheme="minorEastAsia" w:cstheme="minorEastAsia"/>
                <w:szCs w:val="21"/>
              </w:rPr>
            </w:pPr>
          </w:p>
        </w:tc>
        <w:tc>
          <w:tcPr>
            <w:tcW w:w="1100" w:type="dxa"/>
            <w:vMerge w:val="continue"/>
            <w:vAlign w:val="center"/>
          </w:tcPr>
          <w:p>
            <w:pPr>
              <w:spacing w:line="400" w:lineRule="exact"/>
              <w:jc w:val="center"/>
              <w:rPr>
                <w:rFonts w:asciiTheme="minorEastAsia" w:hAnsiTheme="minorEastAsia" w:cstheme="minorEastAsia"/>
                <w:szCs w:val="21"/>
              </w:rPr>
            </w:pPr>
          </w:p>
        </w:tc>
        <w:tc>
          <w:tcPr>
            <w:tcW w:w="1078" w:type="dxa"/>
            <w:vMerge w:val="continue"/>
            <w:vAlign w:val="center"/>
          </w:tcPr>
          <w:p>
            <w:pPr>
              <w:spacing w:line="400" w:lineRule="exact"/>
              <w:jc w:val="center"/>
              <w:rPr>
                <w:rFonts w:asciiTheme="minorEastAsia" w:hAnsiTheme="minorEastAsia" w:cstheme="minorEastAsia"/>
                <w:szCs w:val="21"/>
              </w:rPr>
            </w:pPr>
          </w:p>
        </w:tc>
        <w:tc>
          <w:tcPr>
            <w:tcW w:w="1456" w:type="dxa"/>
            <w:vMerge w:val="continue"/>
            <w:vAlign w:val="center"/>
          </w:tcPr>
          <w:p>
            <w:pPr>
              <w:spacing w:line="400" w:lineRule="exact"/>
              <w:jc w:val="center"/>
              <w:rPr>
                <w:rFonts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法律</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978"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地方性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法规</w:t>
            </w:r>
          </w:p>
        </w:tc>
        <w:tc>
          <w:tcPr>
            <w:tcW w:w="611"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部委</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745"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政府</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规章</w:t>
            </w:r>
          </w:p>
        </w:tc>
        <w:tc>
          <w:tcPr>
            <w:tcW w:w="856"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规范性</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文件</w:t>
            </w:r>
          </w:p>
        </w:tc>
        <w:tc>
          <w:tcPr>
            <w:tcW w:w="945" w:type="dxa"/>
            <w:vMerge w:val="continue"/>
            <w:vAlign w:val="center"/>
          </w:tcPr>
          <w:p>
            <w:pPr>
              <w:spacing w:line="400" w:lineRule="exact"/>
              <w:jc w:val="center"/>
              <w:rPr>
                <w:rFonts w:asciiTheme="minorEastAsia" w:hAnsiTheme="minorEastAsia" w:cstheme="minorEastAsia"/>
                <w:szCs w:val="21"/>
              </w:rPr>
            </w:pP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法定</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承诺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时限工作日</w:t>
            </w:r>
          </w:p>
        </w:tc>
        <w:tc>
          <w:tcPr>
            <w:tcW w:w="1033" w:type="dxa"/>
            <w:vMerge w:val="continue"/>
            <w:vAlign w:val="center"/>
          </w:tcPr>
          <w:p>
            <w:pPr>
              <w:spacing w:line="400" w:lineRule="exact"/>
              <w:jc w:val="center"/>
              <w:rPr>
                <w:rFonts w:asciiTheme="minorEastAsia" w:hAnsiTheme="minorEastAsia" w:cstheme="minorEastAsia"/>
                <w:szCs w:val="21"/>
              </w:rPr>
            </w:pPr>
          </w:p>
        </w:tc>
        <w:tc>
          <w:tcPr>
            <w:tcW w:w="600" w:type="dxa"/>
            <w:vMerge w:val="continue"/>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7"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778" w:type="dxa"/>
            <w:vAlign w:val="center"/>
          </w:tcPr>
          <w:p>
            <w:pPr>
              <w:widowControl/>
              <w:tabs>
                <w:tab w:val="left" w:pos="511"/>
                <w:tab w:val="center" w:pos="886"/>
              </w:tabs>
              <w:jc w:val="left"/>
              <w:textAlignment w:val="center"/>
              <w:rPr>
                <w:rFonts w:asciiTheme="minorEastAsia" w:hAnsiTheme="minorEastAsia" w:cstheme="minorEastAsia"/>
                <w:szCs w:val="21"/>
              </w:rPr>
            </w:pPr>
            <w:r>
              <w:rPr>
                <w:rFonts w:hint="eastAsia" w:ascii="宋体" w:hAnsi="宋体" w:eastAsia="宋体" w:cs="宋体"/>
                <w:kern w:val="0"/>
                <w:sz w:val="18"/>
                <w:szCs w:val="18"/>
                <w:lang w:eastAsia="zh-CN"/>
              </w:rPr>
              <w:t>对住宅物业的建设单位未通过招投标的方式选聘物业服务企业或者未经批准，擅自采用协议方式选聘物业服务企业的处罚</w:t>
            </w:r>
            <w:r>
              <w:rPr>
                <w:rFonts w:hint="eastAsia" w:ascii="宋体" w:hAnsi="宋体" w:eastAsia="宋体" w:cs="宋体"/>
                <w:kern w:val="0"/>
                <w:sz w:val="18"/>
                <w:szCs w:val="18"/>
                <w:lang w:eastAsia="zh-CN"/>
              </w:rPr>
              <w:tab/>
            </w:r>
            <w:r>
              <w:rPr>
                <w:rFonts w:hint="eastAsia" w:ascii="宋体" w:hAnsi="宋体" w:eastAsia="宋体" w:cs="宋体"/>
                <w:kern w:val="0"/>
                <w:sz w:val="18"/>
                <w:szCs w:val="18"/>
              </w:rPr>
              <w:t xml:space="preserve"> </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both"/>
              <w:rPr>
                <w:rFonts w:asciiTheme="minorEastAsia" w:hAnsiTheme="minorEastAsia" w:cstheme="minorEastAsia"/>
                <w:szCs w:val="21"/>
              </w:rPr>
            </w:pPr>
            <w:r>
              <w:rPr>
                <w:rFonts w:ascii="Arial" w:hAnsi="Arial" w:cs="Arial"/>
                <w:szCs w:val="21"/>
              </w:rPr>
              <w:t>√</w:t>
            </w: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2</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对建设单位擅自处分属于业主的物业共用部位、共用设施设备的所有权或者使用权的处罚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778" w:type="dxa"/>
            <w:vAlign w:val="center"/>
          </w:tcPr>
          <w:p>
            <w:pPr>
              <w:widowControl/>
              <w:jc w:val="center"/>
              <w:textAlignment w:val="center"/>
              <w:rPr>
                <w:rFonts w:ascii="宋体" w:hAnsi="宋体" w:eastAsia="宋体" w:cs="宋体"/>
                <w:kern w:val="0"/>
                <w:sz w:val="18"/>
                <w:szCs w:val="18"/>
              </w:rPr>
            </w:pPr>
            <w:r>
              <w:rPr>
                <w:rFonts w:hint="eastAsia" w:ascii="宋体" w:hAnsi="宋体" w:eastAsia="宋体" w:cs="宋体"/>
                <w:kern w:val="0"/>
                <w:sz w:val="18"/>
                <w:szCs w:val="18"/>
              </w:rPr>
              <w:t>对物业服务企业不移交有关资料的处罚</w:t>
            </w:r>
          </w:p>
        </w:tc>
        <w:tc>
          <w:tcPr>
            <w:tcW w:w="1100" w:type="dxa"/>
            <w:vAlign w:val="center"/>
          </w:tcPr>
          <w:p>
            <w:pPr>
              <w:spacing w:line="400" w:lineRule="exact"/>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Arial" w:hAnsi="Arial" w:cs="Arial"/>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15</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3</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4</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对物业服务企业将一个物业管理区域内的全部物业管理一并委托给他人的处罚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5</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对挪用物业专项维修资金的处罚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对建设单位在物业管理区域内不按照规定配置必要的物业管理用房的处罚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66</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7</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对未经业主大会同意，物业管理企业擅自改变物业管理用房的用途的处罚</w:t>
            </w:r>
          </w:p>
        </w:tc>
        <w:tc>
          <w:tcPr>
            <w:tcW w:w="1100"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Theme="minorEastAsia" w:hAnsiTheme="minorEastAsia" w:cstheme="minorEastAsia"/>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asciiTheme="minorEastAsia" w:hAnsiTheme="minorEastAsia" w:cstheme="minorEastAsia"/>
                <w:szCs w:val="21"/>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723" w:type="dxa"/>
            <w:vAlign w:val="center"/>
          </w:tcPr>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1</w:t>
            </w: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8</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开发建设单位未按规定交存首期住宅专项维修资金，开发建设单位或者公有住房单位将房屋交付购买人的；开发建设单位或者公有住房单位未按照尚未售出商品住宅或者公有住房的建筑面积，分摊维修和更新、改造费用的；挪用住宅专项维修资金的处罚</w:t>
            </w:r>
          </w:p>
        </w:tc>
        <w:tc>
          <w:tcPr>
            <w:tcW w:w="1100"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9</w:t>
            </w:r>
          </w:p>
        </w:tc>
        <w:tc>
          <w:tcPr>
            <w:tcW w:w="1778" w:type="dxa"/>
            <w:vAlign w:val="center"/>
          </w:tcPr>
          <w:p>
            <w:pPr>
              <w:widowControl/>
              <w:jc w:val="center"/>
              <w:textAlignment w:val="center"/>
              <w:rPr>
                <w:rFonts w:asciiTheme="minorEastAsia" w:hAnsiTheme="minorEastAsia" w:cstheme="minorEastAsia"/>
                <w:szCs w:val="21"/>
              </w:rPr>
            </w:pPr>
            <w:r>
              <w:rPr>
                <w:rFonts w:hint="eastAsia" w:asciiTheme="minorEastAsia" w:hAnsiTheme="minorEastAsia" w:cstheme="minorEastAsia"/>
                <w:szCs w:val="21"/>
              </w:rPr>
              <w:t>对物业公司擅自改变物业管理区域内按照规划建设的公共建筑和共用设施用途的；擅自占用、挖掘物业管理区域内道路、场地，损害业主共同利益的；擅自利用物业共用部位、共用设施设备进行经营的处罚</w:t>
            </w:r>
          </w:p>
        </w:tc>
        <w:tc>
          <w:tcPr>
            <w:tcW w:w="1100"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行政处罚</w:t>
            </w:r>
          </w:p>
        </w:tc>
        <w:tc>
          <w:tcPr>
            <w:tcW w:w="1078" w:type="dxa"/>
            <w:vAlign w:val="center"/>
          </w:tcPr>
          <w:p>
            <w:pPr>
              <w:spacing w:line="400" w:lineRule="exact"/>
              <w:rPr>
                <w:rFonts w:hint="eastAsia" w:asciiTheme="minorEastAsia" w:hAnsiTheme="minorEastAsia" w:cstheme="minorEastAsia"/>
                <w:szCs w:val="21"/>
              </w:rPr>
            </w:pPr>
            <w:r>
              <w:rPr>
                <w:rFonts w:hint="eastAsia" w:asciiTheme="minorEastAsia" w:hAnsiTheme="minorEastAsia" w:cstheme="minorEastAsia"/>
                <w:szCs w:val="21"/>
              </w:rPr>
              <w:t>铁东区</w:t>
            </w:r>
          </w:p>
          <w:p>
            <w:pPr>
              <w:spacing w:line="400" w:lineRule="exac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住建局</w:t>
            </w:r>
          </w:p>
        </w:tc>
        <w:tc>
          <w:tcPr>
            <w:tcW w:w="1456" w:type="dxa"/>
            <w:vAlign w:val="center"/>
          </w:tcPr>
          <w:p>
            <w:pPr>
              <w:spacing w:line="400" w:lineRule="exact"/>
              <w:jc w:val="center"/>
              <w:rPr>
                <w:rFonts w:hint="eastAsia" w:asciiTheme="minorEastAsia" w:hAnsiTheme="minorEastAsia" w:cstheme="minorEastAsia"/>
                <w:szCs w:val="21"/>
                <w:lang w:eastAsia="zh-CN"/>
              </w:rPr>
            </w:pPr>
            <w:r>
              <w:rPr>
                <w:rFonts w:hint="eastAsia" w:asciiTheme="minorEastAsia" w:hAnsiTheme="minorEastAsia" w:cstheme="minorEastAsia"/>
                <w:szCs w:val="21"/>
                <w:lang w:eastAsia="zh-CN"/>
              </w:rPr>
              <w:t>铁东区</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lang w:eastAsia="zh-CN"/>
              </w:rPr>
              <w:t>物业管理中心</w:t>
            </w: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r>
              <w:rPr>
                <w:rFonts w:ascii="Arial" w:hAnsi="Arial" w:cs="Arial"/>
                <w:szCs w:val="21"/>
              </w:rPr>
              <w:t>√</w:t>
            </w: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法人</w:t>
            </w: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中华人民共和国建设部 令</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 xml:space="preserve">中华人民共和国财政部 </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第　165　号</w:t>
            </w:r>
          </w:p>
          <w:p>
            <w:pPr>
              <w:spacing w:line="400" w:lineRule="exact"/>
              <w:jc w:val="center"/>
              <w:rPr>
                <w:rFonts w:hint="eastAsia" w:asciiTheme="minorEastAsia" w:hAnsiTheme="minorEastAsia" w:cstheme="minorEastAsia"/>
                <w:szCs w:val="21"/>
              </w:rPr>
            </w:pPr>
            <w:r>
              <w:rPr>
                <w:rFonts w:hint="eastAsia" w:asciiTheme="minorEastAsia" w:hAnsiTheme="minorEastAsia" w:cstheme="minorEastAsia"/>
                <w:szCs w:val="21"/>
              </w:rPr>
              <w:t>《物业管理条例》</w:t>
            </w: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cstheme="minorEastAsia"/>
                <w:szCs w:val="21"/>
              </w:rPr>
            </w:pPr>
          </w:p>
        </w:tc>
        <w:tc>
          <w:tcPr>
            <w:tcW w:w="1778" w:type="dxa"/>
            <w:vAlign w:val="center"/>
          </w:tcPr>
          <w:p>
            <w:pPr>
              <w:widowControl/>
              <w:jc w:val="center"/>
              <w:textAlignment w:val="center"/>
              <w:rPr>
                <w:rFonts w:asciiTheme="minorEastAsia" w:hAnsiTheme="minorEastAsia" w:cstheme="minorEastAsia"/>
                <w:szCs w:val="21"/>
              </w:rPr>
            </w:pPr>
          </w:p>
        </w:tc>
        <w:tc>
          <w:tcPr>
            <w:tcW w:w="1100" w:type="dxa"/>
            <w:vAlign w:val="center"/>
          </w:tcPr>
          <w:p>
            <w:pPr>
              <w:spacing w:line="400" w:lineRule="exact"/>
              <w:jc w:val="center"/>
              <w:rPr>
                <w:rFonts w:hint="eastAsia" w:asciiTheme="minorEastAsia" w:hAnsiTheme="minorEastAsia" w:cstheme="minorEastAsia"/>
                <w:szCs w:val="21"/>
              </w:rPr>
            </w:pPr>
          </w:p>
        </w:tc>
        <w:tc>
          <w:tcPr>
            <w:tcW w:w="1078" w:type="dxa"/>
            <w:vAlign w:val="center"/>
          </w:tcPr>
          <w:p>
            <w:pPr>
              <w:spacing w:line="400" w:lineRule="exact"/>
              <w:jc w:val="center"/>
              <w:rPr>
                <w:rFonts w:hint="eastAsia" w:asciiTheme="minorEastAsia" w:hAnsiTheme="minorEastAsia" w:cstheme="minorEastAsia"/>
                <w:szCs w:val="21"/>
              </w:rPr>
            </w:pPr>
          </w:p>
        </w:tc>
        <w:tc>
          <w:tcPr>
            <w:tcW w:w="1456" w:type="dxa"/>
            <w:vAlign w:val="center"/>
          </w:tcPr>
          <w:p>
            <w:pPr>
              <w:spacing w:line="400" w:lineRule="exact"/>
              <w:jc w:val="center"/>
              <w:rPr>
                <w:rFonts w:hint="eastAsia"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trPr>
        <w:tc>
          <w:tcPr>
            <w:tcW w:w="1067" w:type="dxa"/>
            <w:vAlign w:val="center"/>
          </w:tcPr>
          <w:p>
            <w:pPr>
              <w:spacing w:line="400" w:lineRule="exact"/>
              <w:jc w:val="center"/>
              <w:rPr>
                <w:rFonts w:hint="eastAsia" w:asciiTheme="minorEastAsia" w:hAnsiTheme="minorEastAsia" w:cstheme="minorEastAsia"/>
                <w:szCs w:val="21"/>
              </w:rPr>
            </w:pPr>
          </w:p>
        </w:tc>
        <w:tc>
          <w:tcPr>
            <w:tcW w:w="1778" w:type="dxa"/>
            <w:vAlign w:val="center"/>
          </w:tcPr>
          <w:p>
            <w:pPr>
              <w:widowControl/>
              <w:jc w:val="center"/>
              <w:textAlignment w:val="center"/>
              <w:rPr>
                <w:rFonts w:asciiTheme="minorEastAsia" w:hAnsiTheme="minorEastAsia" w:cstheme="minorEastAsia"/>
                <w:szCs w:val="21"/>
              </w:rPr>
            </w:pPr>
          </w:p>
        </w:tc>
        <w:tc>
          <w:tcPr>
            <w:tcW w:w="1100" w:type="dxa"/>
            <w:vAlign w:val="center"/>
          </w:tcPr>
          <w:p>
            <w:pPr>
              <w:spacing w:line="400" w:lineRule="exact"/>
              <w:jc w:val="center"/>
              <w:rPr>
                <w:rFonts w:hint="eastAsia" w:asciiTheme="minorEastAsia" w:hAnsiTheme="minorEastAsia" w:cstheme="minorEastAsia"/>
                <w:szCs w:val="21"/>
              </w:rPr>
            </w:pPr>
          </w:p>
        </w:tc>
        <w:tc>
          <w:tcPr>
            <w:tcW w:w="1078" w:type="dxa"/>
            <w:vAlign w:val="center"/>
          </w:tcPr>
          <w:p>
            <w:pPr>
              <w:spacing w:line="400" w:lineRule="exact"/>
              <w:jc w:val="center"/>
              <w:rPr>
                <w:rFonts w:hint="eastAsia" w:asciiTheme="minorEastAsia" w:hAnsiTheme="minorEastAsia" w:cstheme="minorEastAsia"/>
                <w:szCs w:val="21"/>
              </w:rPr>
            </w:pPr>
          </w:p>
        </w:tc>
        <w:tc>
          <w:tcPr>
            <w:tcW w:w="1456" w:type="dxa"/>
            <w:vAlign w:val="center"/>
          </w:tcPr>
          <w:p>
            <w:pPr>
              <w:spacing w:line="400" w:lineRule="exact"/>
              <w:jc w:val="center"/>
              <w:rPr>
                <w:rFonts w:hint="eastAsia" w:asciiTheme="minorEastAsia" w:hAnsiTheme="minorEastAsia" w:cstheme="minorEastAsia"/>
                <w:szCs w:val="21"/>
              </w:rPr>
            </w:pPr>
          </w:p>
        </w:tc>
        <w:tc>
          <w:tcPr>
            <w:tcW w:w="679"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978" w:type="dxa"/>
            <w:vAlign w:val="center"/>
          </w:tcPr>
          <w:p>
            <w:pPr>
              <w:spacing w:line="400" w:lineRule="exact"/>
              <w:jc w:val="center"/>
              <w:rPr>
                <w:rFonts w:ascii="Arial" w:hAnsi="Arial" w:cs="Arial"/>
                <w:szCs w:val="21"/>
              </w:rPr>
            </w:pPr>
          </w:p>
        </w:tc>
        <w:tc>
          <w:tcPr>
            <w:tcW w:w="611" w:type="dxa"/>
            <w:vAlign w:val="center"/>
          </w:tcPr>
          <w:p>
            <w:pPr>
              <w:spacing w:line="400" w:lineRule="exact"/>
              <w:jc w:val="center"/>
              <w:rPr>
                <w:rFonts w:asciiTheme="minorEastAsia" w:hAnsiTheme="minorEastAsia" w:cstheme="minorEastAsia"/>
                <w:szCs w:val="21"/>
              </w:rPr>
            </w:pPr>
          </w:p>
        </w:tc>
        <w:tc>
          <w:tcPr>
            <w:tcW w:w="745" w:type="dxa"/>
            <w:vAlign w:val="center"/>
          </w:tcPr>
          <w:p>
            <w:pPr>
              <w:spacing w:line="400" w:lineRule="exact"/>
              <w:jc w:val="center"/>
              <w:rPr>
                <w:rFonts w:asciiTheme="minorEastAsia" w:hAnsiTheme="minorEastAsia" w:cstheme="minorEastAsia"/>
                <w:szCs w:val="21"/>
              </w:rPr>
            </w:pPr>
          </w:p>
        </w:tc>
        <w:tc>
          <w:tcPr>
            <w:tcW w:w="856" w:type="dxa"/>
            <w:vAlign w:val="center"/>
          </w:tcPr>
          <w:p>
            <w:pPr>
              <w:spacing w:line="400" w:lineRule="exact"/>
              <w:jc w:val="center"/>
              <w:rPr>
                <w:rFonts w:asciiTheme="minorEastAsia" w:hAnsiTheme="minorEastAsia" w:cstheme="minorEastAsia"/>
                <w:szCs w:val="21"/>
              </w:rPr>
            </w:pPr>
          </w:p>
        </w:tc>
        <w:tc>
          <w:tcPr>
            <w:tcW w:w="945" w:type="dxa"/>
            <w:vAlign w:val="center"/>
          </w:tcPr>
          <w:p>
            <w:pPr>
              <w:widowControl/>
              <w:jc w:val="left"/>
              <w:textAlignment w:val="center"/>
              <w:rPr>
                <w:rFonts w:hint="eastAsia" w:ascii="宋体" w:hAnsi="宋体" w:eastAsia="宋体" w:cs="宋体"/>
                <w:color w:val="000000"/>
                <w:kern w:val="0"/>
                <w:sz w:val="18"/>
                <w:szCs w:val="18"/>
              </w:rPr>
            </w:pPr>
          </w:p>
        </w:tc>
        <w:tc>
          <w:tcPr>
            <w:tcW w:w="644" w:type="dxa"/>
            <w:vAlign w:val="center"/>
          </w:tcPr>
          <w:p>
            <w:pPr>
              <w:spacing w:line="400" w:lineRule="exact"/>
              <w:jc w:val="center"/>
              <w:rPr>
                <w:rFonts w:hint="eastAsia" w:asciiTheme="minorEastAsia" w:hAnsiTheme="minorEastAsia" w:cstheme="minorEastAsia"/>
                <w:szCs w:val="21"/>
              </w:rPr>
            </w:pPr>
          </w:p>
        </w:tc>
        <w:tc>
          <w:tcPr>
            <w:tcW w:w="723" w:type="dxa"/>
            <w:vAlign w:val="center"/>
          </w:tcPr>
          <w:p>
            <w:pPr>
              <w:spacing w:line="400" w:lineRule="exact"/>
              <w:jc w:val="center"/>
              <w:rPr>
                <w:rFonts w:hint="eastAsia" w:asciiTheme="minorEastAsia" w:hAnsiTheme="minorEastAsia" w:cstheme="minorEastAsia"/>
                <w:szCs w:val="21"/>
              </w:rPr>
            </w:pPr>
          </w:p>
        </w:tc>
        <w:tc>
          <w:tcPr>
            <w:tcW w:w="1033" w:type="dxa"/>
            <w:vAlign w:val="center"/>
          </w:tcPr>
          <w:p>
            <w:pPr>
              <w:spacing w:line="400" w:lineRule="exact"/>
              <w:jc w:val="center"/>
              <w:rPr>
                <w:rFonts w:hint="eastAsia" w:asciiTheme="minorEastAsia" w:hAnsiTheme="minorEastAsia" w:cstheme="minorEastAsia"/>
                <w:szCs w:val="21"/>
              </w:rPr>
            </w:pPr>
          </w:p>
        </w:tc>
        <w:tc>
          <w:tcPr>
            <w:tcW w:w="600" w:type="dxa"/>
            <w:vAlign w:val="center"/>
          </w:tcPr>
          <w:p>
            <w:pPr>
              <w:spacing w:line="400" w:lineRule="exact"/>
              <w:jc w:val="center"/>
              <w:rPr>
                <w:rFonts w:asciiTheme="minorEastAsia" w:hAnsiTheme="minorEastAsia" w:cstheme="minorEastAsia"/>
                <w:szCs w:val="21"/>
              </w:rPr>
            </w:pPr>
          </w:p>
        </w:tc>
        <w:tc>
          <w:tcPr>
            <w:tcW w:w="592" w:type="dxa"/>
            <w:vAlign w:val="center"/>
          </w:tcPr>
          <w:p>
            <w:pPr>
              <w:spacing w:line="400" w:lineRule="exact"/>
              <w:jc w:val="center"/>
              <w:rPr>
                <w:rFonts w:asciiTheme="minorEastAsia" w:hAnsiTheme="minorEastAsia" w:cstheme="minorEastAsia"/>
                <w:szCs w:val="21"/>
              </w:rPr>
            </w:pPr>
          </w:p>
        </w:tc>
      </w:tr>
    </w:tbl>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4157D"/>
    <w:rsid w:val="000050A7"/>
    <w:rsid w:val="000E7460"/>
    <w:rsid w:val="00153178"/>
    <w:rsid w:val="00532436"/>
    <w:rsid w:val="006E40C0"/>
    <w:rsid w:val="00860E47"/>
    <w:rsid w:val="008C1114"/>
    <w:rsid w:val="008C3E0D"/>
    <w:rsid w:val="0093100F"/>
    <w:rsid w:val="009E1AC4"/>
    <w:rsid w:val="00BF5847"/>
    <w:rsid w:val="00D04CE5"/>
    <w:rsid w:val="00DD776A"/>
    <w:rsid w:val="061344B4"/>
    <w:rsid w:val="068C72FF"/>
    <w:rsid w:val="1CDC7B69"/>
    <w:rsid w:val="233A2E6F"/>
    <w:rsid w:val="258063D0"/>
    <w:rsid w:val="28597760"/>
    <w:rsid w:val="34244DB9"/>
    <w:rsid w:val="3B2267EE"/>
    <w:rsid w:val="4400342E"/>
    <w:rsid w:val="48187993"/>
    <w:rsid w:val="518B13C1"/>
    <w:rsid w:val="58401995"/>
    <w:rsid w:val="5964157D"/>
    <w:rsid w:val="5C695E93"/>
    <w:rsid w:val="5DAE193A"/>
    <w:rsid w:val="62AB6011"/>
    <w:rsid w:val="6E7F12DD"/>
    <w:rsid w:val="6FB20F47"/>
    <w:rsid w:val="737478AC"/>
    <w:rsid w:val="75222E04"/>
    <w:rsid w:val="7B9F6A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SysCeo.com</Company>
  <Pages>2</Pages>
  <Words>104</Words>
  <Characters>593</Characters>
  <Lines>4</Lines>
  <Paragraphs>1</Paragraphs>
  <TotalTime>0</TotalTime>
  <ScaleCrop>false</ScaleCrop>
  <LinksUpToDate>false</LinksUpToDate>
  <CharactersWithSpaces>696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2020-03-20T06:48:00Z</dcterms:created>
  <dc:creator>lh</dc:creator>
  <cp:lastModifiedBy>阳光下的白鸽</cp:lastModifiedBy>
  <dcterms:modified xsi:type="dcterms:W3CDTF">2020-04-14T08:19:27Z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