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atLeast"/>
        <w:jc w:val="center"/>
        <w:rPr>
          <w:rFonts w:cs="宋体" w:asciiTheme="minorEastAsia" w:hAnsiTheme="minorEastAsia"/>
          <w:kern w:val="0"/>
          <w:sz w:val="40"/>
          <w:szCs w:val="40"/>
        </w:rPr>
      </w:pPr>
      <w:r>
        <w:rPr>
          <w:rFonts w:hint="eastAsia" w:cs="宋体" w:asciiTheme="minorEastAsia" w:hAnsiTheme="minorEastAsia"/>
          <w:b/>
          <w:bCs/>
          <w:kern w:val="0"/>
          <w:sz w:val="40"/>
          <w:szCs w:val="40"/>
          <w:shd w:val="clear" w:color="auto" w:fill="FFFFFF"/>
        </w:rPr>
        <w:t>四平市</w:t>
      </w:r>
      <w:r>
        <w:rPr>
          <w:rFonts w:hint="eastAsia" w:cs="宋体" w:asciiTheme="minorEastAsia" w:hAnsiTheme="minorEastAsia"/>
          <w:b/>
          <w:bCs/>
          <w:kern w:val="0"/>
          <w:sz w:val="40"/>
          <w:szCs w:val="40"/>
          <w:shd w:val="clear" w:color="auto" w:fill="FFFFFF"/>
          <w:lang w:eastAsia="zh-CN"/>
        </w:rPr>
        <w:t>铁东区</w:t>
      </w:r>
      <w:r>
        <w:rPr>
          <w:rFonts w:hint="eastAsia" w:cs="宋体" w:asciiTheme="minorEastAsia" w:hAnsiTheme="minorEastAsia"/>
          <w:b/>
          <w:bCs/>
          <w:kern w:val="0"/>
          <w:sz w:val="40"/>
          <w:szCs w:val="40"/>
          <w:shd w:val="clear" w:color="auto" w:fill="FFFFFF"/>
        </w:rPr>
        <w:t>卫生健康委行政处罚服务指南</w:t>
      </w:r>
    </w:p>
    <w:p>
      <w:pPr>
        <w:widowControl/>
        <w:shd w:val="clear" w:color="auto" w:fill="FFFFFF"/>
        <w:spacing w:line="600" w:lineRule="atLeast"/>
        <w:ind w:firstLine="640"/>
        <w:rPr>
          <w:rFonts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spacing w:line="60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  <w:t>一、执法事项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： 卫生健康行政处罚</w:t>
      </w:r>
    </w:p>
    <w:p>
      <w:pPr>
        <w:widowControl/>
        <w:shd w:val="clear" w:color="auto" w:fill="FFFFFF"/>
        <w:spacing w:line="60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  <w:t>二、依据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：《中华人民共和国行政处罚法》《中华人民共和国行政强制法》《中华人民共和国行政复议法》《中华人民共和国行政诉讼法》《中华人民共和国传染病防治法》《中华人民共和国执业医师法》《中华人民共和国职业病防治法》《中华人民共和国人口与计划生育法》《中华人民共和国母婴保健法》《中华人民共和国献血法》《医疗机构管理条例》《学校卫生工作条例》《医疗废物管理条例》《生活饮用水管理办法》《消毒管理办法》《公共场所卫生管理条例》等有关法律、法规及规章。</w:t>
      </w:r>
    </w:p>
    <w:p>
      <w:pPr>
        <w:widowControl/>
        <w:shd w:val="clear" w:color="auto" w:fill="FFFFFF"/>
        <w:spacing w:line="60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  <w:t>三、处罚范围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：依法开展公共场所卫生、饮用水卫生、学校卫生、医疗卫生、职业卫生、放射卫生、传染病防治、计划生育等综合监督行政执法，查处违法行为。</w:t>
      </w:r>
    </w:p>
    <w:p>
      <w:pPr>
        <w:widowControl/>
        <w:shd w:val="clear" w:color="auto" w:fill="FFFFFF"/>
        <w:spacing w:line="600" w:lineRule="atLeast"/>
        <w:ind w:firstLine="630" w:firstLineChars="196"/>
        <w:rPr>
          <w:rFonts w:hint="eastAsia" w:ascii="宋体" w:hAnsi="宋体" w:eastAsia="仿宋_GB2312" w:cs="宋体"/>
          <w:kern w:val="0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  <w:t>四、承办机构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：四平市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eastAsia="zh-CN"/>
        </w:rPr>
        <w:t>铁东区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卫生健康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eastAsia="zh-CN"/>
        </w:rPr>
        <w:t>局</w:t>
      </w:r>
    </w:p>
    <w:p>
      <w:pPr>
        <w:widowControl/>
        <w:shd w:val="clear" w:color="auto" w:fill="FFFFFF"/>
        <w:spacing w:line="600" w:lineRule="atLeast"/>
        <w:ind w:firstLine="630" w:firstLineChars="196"/>
        <w:jc w:val="left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  <w:t>五、办理流程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：见四平市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eastAsia="zh-CN"/>
        </w:rPr>
        <w:t>铁东区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卫生健康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eastAsia="zh-CN"/>
        </w:rPr>
        <w:t>局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行政处罚流程图</w:t>
      </w:r>
    </w:p>
    <w:p>
      <w:pPr>
        <w:widowControl/>
        <w:shd w:val="clear" w:color="auto" w:fill="FFFFFF"/>
        <w:spacing w:line="60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  <w:t>六、办理时限</w:t>
      </w:r>
    </w:p>
    <w:p>
      <w:pPr>
        <w:widowControl/>
        <w:shd w:val="clear" w:color="auto" w:fill="FFFFFF"/>
        <w:spacing w:line="60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（一）自受理之日7日内立案；2个月内调查终结，3个月作出行政处罚决定。需要延长办案时限的，应当在期限届满10前报请行政机关负责人集体讨论决定，延长期限一般不超过3个月。</w:t>
      </w:r>
    </w:p>
    <w:p>
      <w:pPr>
        <w:widowControl/>
        <w:shd w:val="clear" w:color="auto" w:fill="FFFFFF"/>
        <w:spacing w:line="60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（二）证据先行登记保存时限7天，查封扣押期限30天，情况复杂需要延长的，经行政机关负责人批准可延长30日。</w:t>
      </w:r>
    </w:p>
    <w:p>
      <w:pPr>
        <w:widowControl/>
        <w:shd w:val="clear" w:color="auto" w:fill="FFFFFF"/>
        <w:spacing w:line="60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（三）直接送达的文书7日内送达，公告送达时限60天。</w:t>
      </w:r>
    </w:p>
    <w:p>
      <w:pPr>
        <w:widowControl/>
        <w:shd w:val="clear" w:color="auto" w:fill="FFFFFF"/>
        <w:spacing w:line="60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  <w:t>七、监督方式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：纪检委问卷调查，法规跟踪稽查。</w:t>
      </w:r>
    </w:p>
    <w:p>
      <w:pPr>
        <w:widowControl/>
        <w:shd w:val="clear" w:color="auto" w:fill="FFFFFF"/>
        <w:spacing w:line="60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  <w:t>八、救济渠道</w:t>
      </w:r>
    </w:p>
    <w:p>
      <w:pPr>
        <w:widowControl/>
        <w:shd w:val="clear" w:color="auto" w:fill="FFFFFF"/>
        <w:spacing w:line="60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（一）行政处罚事先告知下达后3日内，当事人有要求陈述、申辩或听证的权力；</w:t>
      </w:r>
    </w:p>
    <w:p>
      <w:pPr>
        <w:widowControl/>
        <w:shd w:val="clear" w:color="auto" w:fill="FFFFFF"/>
        <w:spacing w:line="60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（二）行政处罚决定书送达后，当事人应当在15日内履行。</w:t>
      </w:r>
    </w:p>
    <w:p>
      <w:pPr>
        <w:widowControl/>
        <w:shd w:val="clear" w:color="auto" w:fill="FFFFFF"/>
        <w:spacing w:line="60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（三）如不服行政机关作出的处罚决定，可在收到行政处罚决定书之日起60日内向上级行政部门或同级人民政府申请行政复议，或者6个月内向作出行政处罚决定行政机关所在地人民法院提请诉讼。</w:t>
      </w:r>
    </w:p>
    <w:p>
      <w:pPr>
        <w:widowControl/>
        <w:shd w:val="clear" w:color="auto" w:fill="FFFFFF"/>
        <w:spacing w:line="60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  <w:t>十、处罚结果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：向当事人送达行政处罚决定书，行政处罚结果在吉林省卫生健康委网站公示。</w:t>
      </w:r>
    </w:p>
    <w:p>
      <w:pPr>
        <w:widowControl/>
        <w:shd w:val="clear" w:color="auto" w:fill="FFFFFF"/>
        <w:spacing w:line="600" w:lineRule="atLeast"/>
        <w:ind w:firstLine="640"/>
        <w:rPr>
          <w:rFonts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  <w:t>十一、责任追究</w:t>
      </w:r>
    </w:p>
    <w:p>
      <w:pPr>
        <w:widowControl/>
        <w:shd w:val="clear" w:color="auto" w:fill="FFFFFF"/>
        <w:spacing w:line="60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（一）对没有法定的行政处罚依据，擅自改变行政处罚种类幅度，违反法定的行政处罚程序的，对直接负责的主管人员和其他直接责任人员依法给予行政处分。</w:t>
      </w:r>
    </w:p>
    <w:p>
      <w:pPr>
        <w:widowControl/>
        <w:shd w:val="clear" w:color="auto" w:fill="FFFFFF"/>
        <w:spacing w:line="600" w:lineRule="atLeast"/>
        <w:ind w:firstLine="640"/>
        <w:textAlignment w:val="baseline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（二）对不使用罚款、没收财物单据或者使用非法定部门制发的罚款、没收财物单据的，对直接负责的主管人员和其他直接责任人员依法给予行政处分。</w:t>
      </w:r>
    </w:p>
    <w:p>
      <w:pPr>
        <w:widowControl/>
        <w:shd w:val="clear" w:color="auto" w:fill="FFFFFF"/>
        <w:spacing w:line="600" w:lineRule="atLeast"/>
        <w:ind w:firstLine="640"/>
        <w:textAlignment w:val="baseline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三）对将罚款、没收的违法所得或者财物截留、私分或者变相私分的，由财政部门或者有关部门予以追缴，对直接负责的主管人员和其他直接责任人员依法给予行政处分；情节严重构成犯罪的，依法追究刑事责任。</w:t>
      </w:r>
    </w:p>
    <w:p>
      <w:pPr>
        <w:widowControl/>
        <w:shd w:val="clear" w:color="auto" w:fill="FFFFFF"/>
        <w:spacing w:line="600" w:lineRule="atLeast"/>
        <w:ind w:firstLine="640"/>
        <w:textAlignment w:val="baseline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（四）对利用职务上的便利，索取或者收受他人财物、收缴罚款据为己有，构成犯罪的，依法追究刑事责任；情节轻微不构成犯罪的，依法给予行政处分。</w:t>
      </w:r>
    </w:p>
    <w:p>
      <w:pPr>
        <w:widowControl/>
        <w:shd w:val="clear" w:color="auto" w:fill="FFFFFF"/>
        <w:spacing w:line="600" w:lineRule="atLeast"/>
        <w:ind w:firstLine="640"/>
        <w:textAlignment w:val="baseline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（五）对使用或者损毁扣押的财物，对当事人造成损失的，应当依法予以赔偿，对直接负责的主管人员和其他直接责任人员依法给予行政处分。</w:t>
      </w:r>
    </w:p>
    <w:p>
      <w:pPr>
        <w:widowControl/>
        <w:shd w:val="clear" w:color="auto" w:fill="FFFFFF"/>
        <w:spacing w:line="60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  <w:t>十二、办公地点、时间及电话</w:t>
      </w:r>
    </w:p>
    <w:p>
      <w:pPr>
        <w:widowControl/>
        <w:shd w:val="clear" w:color="auto" w:fill="FFFFFF"/>
        <w:spacing w:line="600" w:lineRule="atLeast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（一）地点：四平市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eastAsia="zh-CN"/>
        </w:rPr>
        <w:t>铁东区政务大厅</w:t>
      </w:r>
      <w:bookmarkStart w:id="0" w:name="_GoBack"/>
      <w:bookmarkEnd w:id="0"/>
    </w:p>
    <w:p>
      <w:pPr>
        <w:widowControl/>
        <w:shd w:val="clear" w:color="auto" w:fill="FFFFFF"/>
        <w:spacing w:line="600" w:lineRule="atLeas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（二）时间：上午：8:30 ～11:30</w:t>
      </w:r>
    </w:p>
    <w:p>
      <w:pPr>
        <w:widowControl/>
        <w:shd w:val="clear" w:color="auto" w:fill="FFFFFF"/>
        <w:spacing w:line="600" w:lineRule="atLeast"/>
        <w:ind w:firstLine="2560" w:firstLineChars="80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下午：13:00～16:30</w:t>
      </w:r>
    </w:p>
    <w:p>
      <w:pPr>
        <w:widowControl/>
        <w:shd w:val="clear" w:color="auto" w:fill="FFFFFF"/>
        <w:spacing w:line="600" w:lineRule="atLeast"/>
        <w:ind w:firstLine="640" w:firstLineChars="200"/>
        <w:rPr>
          <w:rFonts w:hint="default" w:ascii="仿宋_GB2312" w:hAnsi="宋体" w:eastAsia="仿宋_GB2312" w:cs="宋体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（三）电话：0434-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val="en-US" w:eastAsia="zh-CN"/>
        </w:rPr>
        <w:t>3520518</w:t>
      </w:r>
    </w:p>
    <w:p>
      <w:pPr>
        <w:widowControl/>
        <w:shd w:val="clear" w:color="auto" w:fill="FFFFFF"/>
        <w:spacing w:line="600" w:lineRule="atLeas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shd w:val="clear" w:color="auto" w:fill="FFFFFF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7C6C"/>
    <w:rsid w:val="00327C6C"/>
    <w:rsid w:val="00A76E56"/>
    <w:rsid w:val="4EED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SysCeo.com</Company>
  <Pages>3</Pages>
  <Words>185</Words>
  <Characters>1055</Characters>
  <Lines>8</Lines>
  <Paragraphs>2</Paragraphs>
  <TotalTime>0</TotalTime>
  <ScaleCrop>false</ScaleCrop>
  <LinksUpToDate>false</LinksUpToDate>
  <CharactersWithSpaces>1238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2020-03-17T07:08:00Z</dcterms:created>
  <dc:creator>Microsoft</dc:creator>
  <cp:lastModifiedBy>繁华落尽♬</cp:lastModifiedBy>
  <dcterms:modified xsi:type="dcterms:W3CDTF">2020-04-16T07:55:20Z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