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3700" w:type="dxa"/>
        <w:tblInd w:w="0" w:type="dxa"/>
        <w:tblLayout w:type="fixed"/>
        <w:tblCellMar>
          <w:top w:w="0" w:type="dxa"/>
          <w:left w:w="0" w:type="dxa"/>
          <w:bottom w:w="0" w:type="dxa"/>
          <w:right w:w="0" w:type="dxa"/>
        </w:tblCellMar>
      </w:tblPr>
      <w:tblGrid>
        <w:gridCol w:w="582"/>
        <w:gridCol w:w="851"/>
        <w:gridCol w:w="2898"/>
        <w:gridCol w:w="1416"/>
        <w:gridCol w:w="1072"/>
        <w:gridCol w:w="851"/>
        <w:gridCol w:w="1577"/>
        <w:gridCol w:w="1607"/>
        <w:gridCol w:w="1635"/>
        <w:gridCol w:w="22"/>
        <w:gridCol w:w="545"/>
        <w:gridCol w:w="624"/>
        <w:gridCol w:w="20"/>
      </w:tblGrid>
      <w:tr>
        <w:tblPrEx>
          <w:tblCellMar>
            <w:top w:w="0" w:type="dxa"/>
            <w:left w:w="0" w:type="dxa"/>
            <w:bottom w:w="0" w:type="dxa"/>
            <w:right w:w="0" w:type="dxa"/>
          </w:tblCellMar>
        </w:tblPrEx>
        <w:trPr>
          <w:gridAfter w:val="1"/>
          <w:wAfter w:w="20" w:type="dxa"/>
          <w:trHeight w:val="400" w:hRule="atLeast"/>
        </w:trPr>
        <w:tc>
          <w:tcPr>
            <w:tcW w:w="13680" w:type="dxa"/>
            <w:gridSpan w:val="12"/>
            <w:tcBorders>
              <w:top w:val="nil"/>
              <w:left w:val="nil"/>
              <w:bottom w:val="nil"/>
              <w:right w:val="nil"/>
            </w:tcBorders>
            <w:shd w:val="clear" w:color="auto" w:fill="auto"/>
            <w:tcMar>
              <w:top w:w="15" w:type="dxa"/>
              <w:left w:w="15" w:type="dxa"/>
              <w:right w:w="15" w:type="dxa"/>
            </w:tcMar>
            <w:vAlign w:val="center"/>
          </w:tcPr>
          <w:p>
            <w:pPr>
              <w:rPr>
                <w:rFonts w:ascii="宋体" w:hAnsi="宋体" w:cs="宋体"/>
                <w:color w:val="000000"/>
                <w:sz w:val="24"/>
                <w:szCs w:val="24"/>
              </w:rPr>
            </w:pPr>
            <w:bookmarkStart w:id="0" w:name="_GoBack"/>
            <w:bookmarkEnd w:id="0"/>
          </w:p>
        </w:tc>
      </w:tr>
      <w:tr>
        <w:tblPrEx>
          <w:tblCellMar>
            <w:top w:w="0" w:type="dxa"/>
            <w:left w:w="0" w:type="dxa"/>
            <w:bottom w:w="0" w:type="dxa"/>
            <w:right w:w="0" w:type="dxa"/>
          </w:tblCellMar>
        </w:tblPrEx>
        <w:trPr>
          <w:gridAfter w:val="1"/>
          <w:wAfter w:w="20" w:type="dxa"/>
          <w:trHeight w:val="596" w:hRule="atLeast"/>
        </w:trPr>
        <w:tc>
          <w:tcPr>
            <w:tcW w:w="13680" w:type="dxa"/>
            <w:gridSpan w:val="12"/>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方正小标宋简体" w:hAnsi="方正小标宋简体" w:eastAsia="方正小标宋简体" w:cs="方正小标宋简体"/>
                <w:color w:val="000000"/>
                <w:sz w:val="40"/>
                <w:szCs w:val="40"/>
              </w:rPr>
            </w:pPr>
            <w:r>
              <w:rPr>
                <w:rFonts w:ascii="方正小标宋简体" w:hAnsi="方正小标宋简体" w:eastAsia="方正小标宋简体" w:cs="方正小标宋简体"/>
                <w:color w:val="000000"/>
                <w:kern w:val="0"/>
                <w:sz w:val="40"/>
                <w:szCs w:val="40"/>
              </w:rPr>
              <w:t>四平市</w:t>
            </w:r>
            <w:r>
              <w:rPr>
                <w:rFonts w:hint="eastAsia" w:ascii="方正小标宋简体" w:hAnsi="方正小标宋简体" w:eastAsia="方正小标宋简体" w:cs="方正小标宋简体"/>
                <w:color w:val="000000"/>
                <w:kern w:val="0"/>
                <w:sz w:val="40"/>
                <w:szCs w:val="40"/>
                <w:lang w:eastAsia="zh-CN"/>
              </w:rPr>
              <w:t>铁东区</w:t>
            </w:r>
            <w:r>
              <w:rPr>
                <w:rFonts w:hint="eastAsia" w:ascii="方正小标宋简体" w:hAnsi="方正小标宋简体" w:eastAsia="方正小标宋简体" w:cs="方正小标宋简体"/>
                <w:color w:val="000000"/>
                <w:kern w:val="0"/>
                <w:sz w:val="40"/>
                <w:szCs w:val="40"/>
              </w:rPr>
              <w:t>卫生健康</w:t>
            </w:r>
            <w:r>
              <w:rPr>
                <w:rFonts w:hint="eastAsia" w:ascii="方正小标宋简体" w:hAnsi="方正小标宋简体" w:eastAsia="方正小标宋简体" w:cs="方正小标宋简体"/>
                <w:color w:val="000000"/>
                <w:kern w:val="0"/>
                <w:sz w:val="40"/>
                <w:szCs w:val="40"/>
                <w:lang w:eastAsia="zh-CN"/>
              </w:rPr>
              <w:t>局</w:t>
            </w:r>
            <w:r>
              <w:rPr>
                <w:rFonts w:ascii="方正小标宋简体" w:hAnsi="方正小标宋简体" w:eastAsia="方正小标宋简体" w:cs="方正小标宋简体"/>
                <w:color w:val="000000"/>
                <w:kern w:val="0"/>
                <w:sz w:val="40"/>
                <w:szCs w:val="40"/>
              </w:rPr>
              <w:t>随机抽查事项清单</w:t>
            </w:r>
          </w:p>
        </w:tc>
      </w:tr>
      <w:tr>
        <w:tblPrEx>
          <w:tblCellMar>
            <w:top w:w="0" w:type="dxa"/>
            <w:left w:w="0" w:type="dxa"/>
            <w:bottom w:w="0" w:type="dxa"/>
            <w:right w:w="0" w:type="dxa"/>
          </w:tblCellMar>
        </w:tblPrEx>
        <w:trPr>
          <w:gridAfter w:val="1"/>
          <w:wAfter w:w="20" w:type="dxa"/>
          <w:trHeight w:val="402" w:hRule="atLeast"/>
        </w:trPr>
        <w:tc>
          <w:tcPr>
            <w:tcW w:w="13680" w:type="dxa"/>
            <w:gridSpan w:val="12"/>
            <w:tcBorders>
              <w:top w:val="nil"/>
              <w:left w:val="nil"/>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szCs w:val="24"/>
              </w:rPr>
            </w:pPr>
          </w:p>
        </w:tc>
      </w:tr>
      <w:tr>
        <w:tblPrEx>
          <w:tblCellMar>
            <w:top w:w="0" w:type="dxa"/>
            <w:left w:w="0" w:type="dxa"/>
            <w:bottom w:w="0" w:type="dxa"/>
            <w:right w:w="0" w:type="dxa"/>
          </w:tblCellMar>
        </w:tblPrEx>
        <w:trPr>
          <w:gridAfter w:val="1"/>
          <w:wAfter w:w="20" w:type="dxa"/>
          <w:trHeight w:val="725"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rPr>
              <w:t>序号</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rPr>
              <w:t>抽查事项名称</w:t>
            </w:r>
          </w:p>
        </w:tc>
        <w:tc>
          <w:tcPr>
            <w:tcW w:w="53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rPr>
              <w:t>抽查依据</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rPr>
              <w:t>抽查主体</w:t>
            </w:r>
          </w:p>
        </w:tc>
        <w:tc>
          <w:tcPr>
            <w:tcW w:w="48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rPr>
              <w:t>抽查内容</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rPr>
              <w:t>抽查方式</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rPr>
              <w:t>备  注</w:t>
            </w:r>
          </w:p>
        </w:tc>
      </w:tr>
      <w:tr>
        <w:tblPrEx>
          <w:tblCellMar>
            <w:top w:w="0" w:type="dxa"/>
            <w:left w:w="0" w:type="dxa"/>
            <w:bottom w:w="0" w:type="dxa"/>
            <w:right w:w="0" w:type="dxa"/>
          </w:tblCellMar>
        </w:tblPrEx>
        <w:trPr>
          <w:gridAfter w:val="1"/>
          <w:wAfter w:w="20" w:type="dxa"/>
          <w:trHeight w:val="439"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黑体" w:eastAsia="黑体" w:cs="宋体"/>
                <w:color w:val="000000"/>
                <w:sz w:val="24"/>
                <w:szCs w:val="24"/>
              </w:rPr>
            </w:pPr>
            <w:r>
              <w:rPr>
                <w:rFonts w:hint="eastAsia" w:ascii="黑体" w:hAnsi="黑体" w:eastAsia="黑体"/>
                <w:color w:val="000000"/>
              </w:rPr>
              <w:t>1</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水质卫生</w:t>
            </w:r>
          </w:p>
        </w:tc>
        <w:tc>
          <w:tcPr>
            <w:tcW w:w="53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《传染病防治法》第29条；《生活饮用水卫生监督管理办法》、《集中式供水单位卫生规范》、《二次供水单位卫生规范》、《生活饮用水卫生标准GB5749—2006》；《卫生监督机构绩效考核指标》</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四平市卫生局卫生监督所</w:t>
            </w:r>
          </w:p>
          <w:p>
            <w:pPr>
              <w:rPr>
                <w:rFonts w:ascii="宋体" w:hAnsi="宋体" w:cs="宋体"/>
                <w:color w:val="000000"/>
                <w:sz w:val="24"/>
                <w:szCs w:val="24"/>
              </w:rPr>
            </w:pPr>
          </w:p>
        </w:tc>
        <w:tc>
          <w:tcPr>
            <w:tcW w:w="48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1、生活饮用水供应卫生管理法律法规规章规范及标准制度实施情况；2、新改扩建供水项目选址、设计的预防性卫生监督；3、申请供水卫生许可的现场审查；4、违法违规行为的调查与处理；5、饮用水卫生举报和饮用水污染事件的调查与处置；5、饮用水卫生监测样品采集和现场监测；6、国家、省、爱卫会等部门供水卫生检查的迎检准备；7、重大活动卫生监督保障；8、水质卫生专项集中检查行动。</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r>
              <w:rPr>
                <w:rFonts w:hint="eastAsia"/>
              </w:rPr>
              <w:t>随机抽取、现场检查</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tc>
      </w:tr>
      <w:tr>
        <w:tblPrEx>
          <w:tblCellMar>
            <w:top w:w="0" w:type="dxa"/>
            <w:left w:w="0" w:type="dxa"/>
            <w:bottom w:w="0" w:type="dxa"/>
            <w:right w:w="0" w:type="dxa"/>
          </w:tblCellMar>
        </w:tblPrEx>
        <w:trPr>
          <w:gridAfter w:val="1"/>
          <w:wAfter w:w="20" w:type="dxa"/>
          <w:trHeight w:val="415"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黑体" w:eastAsia="黑体" w:cs="宋体"/>
                <w:color w:val="000000"/>
                <w:sz w:val="24"/>
                <w:szCs w:val="24"/>
              </w:rPr>
            </w:pPr>
            <w:r>
              <w:rPr>
                <w:rFonts w:hint="eastAsia" w:ascii="黑体" w:hAnsi="黑体" w:eastAsia="黑体"/>
                <w:color w:val="000000"/>
              </w:rPr>
              <w:t>2</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公共场所卫生</w:t>
            </w:r>
          </w:p>
        </w:tc>
        <w:tc>
          <w:tcPr>
            <w:tcW w:w="53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《传染病防治法》、《公共场所卫生管理条例》及实施细则、《公共场所卫生监督量化分级管理指南》、《卫生监督机构绩效考核指标》</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四平市卫生局卫生监督所、市场监管部门、税务部门</w:t>
            </w:r>
          </w:p>
          <w:p>
            <w:pPr>
              <w:rPr>
                <w:rFonts w:ascii="宋体" w:hAnsi="宋体" w:cs="宋体"/>
                <w:color w:val="333333"/>
                <w:sz w:val="24"/>
                <w:szCs w:val="24"/>
              </w:rPr>
            </w:pPr>
          </w:p>
        </w:tc>
        <w:tc>
          <w:tcPr>
            <w:tcW w:w="48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1、公共场所卫生管理法律法规规章规范及标准制度实施情况；2、新改扩建单位的卫生审查；3、申请卫生许可的现场审查；4、违法违规行为的调查与处理；5、举报和公共场所健康危害事件的调查与处置；5、现场卫生监测；6、国家、省、爱卫会等部门的迎检准备；7、重大活动卫生监督保障；8、专项执法集中行动；9、公共场所卫生监督量化分级管理评价</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r>
              <w:rPr>
                <w:rFonts w:hint="eastAsia"/>
              </w:rPr>
              <w:t>随机抽取、现场检查</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tc>
      </w:tr>
      <w:tr>
        <w:tblPrEx>
          <w:tblCellMar>
            <w:top w:w="0" w:type="dxa"/>
            <w:left w:w="0" w:type="dxa"/>
            <w:bottom w:w="0" w:type="dxa"/>
            <w:right w:w="0" w:type="dxa"/>
          </w:tblCellMar>
        </w:tblPrEx>
        <w:trPr>
          <w:gridAfter w:val="1"/>
          <w:wAfter w:w="20" w:type="dxa"/>
          <w:trHeight w:val="415"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黑体" w:eastAsia="黑体" w:cs="宋体"/>
                <w:color w:val="000000"/>
                <w:sz w:val="24"/>
                <w:szCs w:val="24"/>
              </w:rPr>
            </w:pPr>
            <w:r>
              <w:rPr>
                <w:rFonts w:hint="eastAsia" w:ascii="黑体" w:hAnsi="黑体" w:eastAsia="黑体"/>
                <w:color w:val="000000"/>
              </w:rPr>
              <w:t>3</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医疗机构卫生</w:t>
            </w:r>
          </w:p>
        </w:tc>
        <w:tc>
          <w:tcPr>
            <w:tcW w:w="53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传染病防治法》、《执业医师法》、《母婴保健法》及实施办法、《献血法》、《职业病防治法》、《医疗机构管理条例》及其实施细则、《护士条例》、《医疗废物管理条例》、《乡村医生从业管理条例》、《处方管理办法》、《医院感染管理办法》、《消毒管理办法》；《卫生监督机构绩效考核指标》《母婴保健法实施办法》《人口与计划生育法》《计划生育技术服务管理条例》《吉林省人口与计划生育条例》《吉林省母婴保健条例》</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四平市卫生局卫生监督所</w:t>
            </w:r>
          </w:p>
          <w:p>
            <w:pPr>
              <w:rPr>
                <w:rFonts w:ascii="宋体" w:hAnsi="宋体" w:cs="宋体"/>
                <w:sz w:val="24"/>
                <w:szCs w:val="24"/>
              </w:rPr>
            </w:pPr>
          </w:p>
        </w:tc>
        <w:tc>
          <w:tcPr>
            <w:tcW w:w="48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1、医疗采供血机构执业管理；2、医师、护士、乡村医生执业管理；3、消毒、医院感染、医疗废物、药物处方、母婴保健、传染病防控等管理；4、消毒效果卫生监测；5、违法违规行为的调查与处理；6、举报和健康危害事件的调查与处置；6、国家、省、爱卫会等部门的迎检准备；8、专项执法集中行动；9上级卫生行政部门部署的其它督查工作</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r>
              <w:rPr>
                <w:rFonts w:hint="eastAsia"/>
              </w:rPr>
              <w:t>随机抽取、现场检查</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tc>
      </w:tr>
      <w:tr>
        <w:tblPrEx>
          <w:tblCellMar>
            <w:top w:w="0" w:type="dxa"/>
            <w:left w:w="0" w:type="dxa"/>
            <w:bottom w:w="0" w:type="dxa"/>
            <w:right w:w="0" w:type="dxa"/>
          </w:tblCellMar>
        </w:tblPrEx>
        <w:trPr>
          <w:gridAfter w:val="1"/>
          <w:wAfter w:w="20" w:type="dxa"/>
          <w:trHeight w:val="415"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黑体" w:eastAsia="黑体" w:cs="宋体"/>
                <w:color w:val="000000"/>
                <w:sz w:val="24"/>
                <w:szCs w:val="24"/>
              </w:rPr>
            </w:pPr>
            <w:r>
              <w:rPr>
                <w:rFonts w:hint="eastAsia" w:ascii="黑体" w:hAnsi="黑体" w:eastAsia="黑体"/>
                <w:color w:val="000000"/>
              </w:rPr>
              <w:t>4</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r>
              <w:rPr>
                <w:rFonts w:hint="eastAsia"/>
              </w:rPr>
              <w:t>放射诊疗机构卫生</w:t>
            </w:r>
          </w:p>
          <w:p>
            <w:pPr>
              <w:rPr>
                <w:rFonts w:ascii="华文宋体" w:hAnsi="华文宋体" w:eastAsia="华文宋体" w:cs="宋体"/>
                <w:sz w:val="24"/>
                <w:szCs w:val="24"/>
              </w:rPr>
            </w:pPr>
          </w:p>
        </w:tc>
        <w:tc>
          <w:tcPr>
            <w:tcW w:w="53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《职业病防治法》、《放射性同位素与射线装置安全与防护条例》、《放射工作人员职业健康管理办法》、《放射诊疗管理规定》；《卫生监督机构绩效考核指标》</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四平市卫生局卫生监督所</w:t>
            </w:r>
          </w:p>
          <w:p>
            <w:pPr>
              <w:rPr>
                <w:rFonts w:ascii="宋体" w:hAnsi="宋体" w:cs="宋体"/>
                <w:color w:val="000000"/>
                <w:sz w:val="24"/>
                <w:szCs w:val="24"/>
              </w:rPr>
            </w:pPr>
          </w:p>
        </w:tc>
        <w:tc>
          <w:tcPr>
            <w:tcW w:w="48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《职业病防治法》、《放射性同位素与射线装置安全与防护条例》、《放射工作人员职业健康管理办法》、《放射诊疗管理规定》；《卫生监督机构绩效考核指标》</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r>
              <w:rPr>
                <w:rFonts w:hint="eastAsia"/>
              </w:rPr>
              <w:t>随机抽取、现场检查</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tc>
      </w:tr>
      <w:tr>
        <w:tblPrEx>
          <w:tblCellMar>
            <w:top w:w="0" w:type="dxa"/>
            <w:left w:w="0" w:type="dxa"/>
            <w:bottom w:w="0" w:type="dxa"/>
            <w:right w:w="0" w:type="dxa"/>
          </w:tblCellMar>
        </w:tblPrEx>
        <w:trPr>
          <w:gridAfter w:val="1"/>
          <w:wAfter w:w="20" w:type="dxa"/>
          <w:trHeight w:val="415"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黑体" w:eastAsia="黑体" w:cs="宋体"/>
                <w:color w:val="000000"/>
                <w:sz w:val="24"/>
                <w:szCs w:val="24"/>
              </w:rPr>
            </w:pPr>
            <w:r>
              <w:rPr>
                <w:rFonts w:hint="eastAsia" w:ascii="黑体" w:hAnsi="黑体" w:eastAsia="黑体"/>
                <w:color w:val="000000"/>
              </w:rPr>
              <w:t>5</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学校卫生</w:t>
            </w:r>
          </w:p>
        </w:tc>
        <w:tc>
          <w:tcPr>
            <w:tcW w:w="53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传染病防治法》、《学校卫生工作条例》、《执业医师法》、《医疗机构管理条例》及其实施细则、《医疗废物管理条例》、《公共场所管理条例》、《生活饮用水卫生监督管理办法》、《中小学幼儿园安全管理办法》；《卫生监督机构绩效考核指标》</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四平市卫生局卫生监督所、教育部门</w:t>
            </w:r>
          </w:p>
          <w:p>
            <w:pPr>
              <w:rPr>
                <w:rFonts w:ascii="宋体" w:hAnsi="宋体" w:cs="宋体"/>
                <w:sz w:val="24"/>
                <w:szCs w:val="24"/>
              </w:rPr>
            </w:pPr>
          </w:p>
        </w:tc>
        <w:tc>
          <w:tcPr>
            <w:tcW w:w="48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1、学校教学环境卫生；2、学校传染病及学生常见病防控；3、学校医疗机构、公共场所、水质等卫生监督；4、违法违规行为的调查与处理；5、举报和健康危害事件的调查与处置；6、国家、省、爱卫会等部门的迎检准备；7、疫情防控督察</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r>
              <w:rPr>
                <w:rFonts w:hint="eastAsia"/>
              </w:rPr>
              <w:t>随机抽取、现场检查</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tc>
      </w:tr>
      <w:tr>
        <w:tblPrEx>
          <w:tblCellMar>
            <w:top w:w="0" w:type="dxa"/>
            <w:left w:w="0" w:type="dxa"/>
            <w:bottom w:w="0" w:type="dxa"/>
            <w:right w:w="0" w:type="dxa"/>
          </w:tblCellMar>
        </w:tblPrEx>
        <w:trPr>
          <w:gridAfter w:val="1"/>
          <w:wAfter w:w="20" w:type="dxa"/>
          <w:trHeight w:val="426"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黑体" w:eastAsia="黑体" w:cs="宋体"/>
                <w:color w:val="000000"/>
                <w:sz w:val="24"/>
                <w:szCs w:val="24"/>
              </w:rPr>
            </w:pPr>
            <w:r>
              <w:rPr>
                <w:rFonts w:hint="eastAsia" w:ascii="黑体" w:hAnsi="黑体" w:eastAsia="黑体"/>
                <w:color w:val="000000"/>
              </w:rPr>
              <w:t>6</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消毒卫生</w:t>
            </w:r>
          </w:p>
        </w:tc>
        <w:tc>
          <w:tcPr>
            <w:tcW w:w="53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《传染病防治法》、《消毒管理办法》、《餐饮具集中消毒单位卫生监督规范》；《卫生监督机构绩效考核指标》</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四平市卫生局卫生监督所</w:t>
            </w:r>
          </w:p>
          <w:p>
            <w:pPr>
              <w:rPr>
                <w:rFonts w:ascii="宋体" w:hAnsi="宋体" w:cs="宋体"/>
                <w:color w:val="000000"/>
                <w:sz w:val="24"/>
                <w:szCs w:val="24"/>
              </w:rPr>
            </w:pPr>
          </w:p>
        </w:tc>
        <w:tc>
          <w:tcPr>
            <w:tcW w:w="48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1、消毒生产单位的卫生许可和从业人员的健康体检与卫生培训管理；2、消毒产品经营单位索证管理；3、消毒技术服务机构的卫生管理和餐饮具集中消毒单位的现场卫生检查监督；4、举报及违法违规行为的调查与处理</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r>
              <w:rPr>
                <w:rFonts w:hint="eastAsia"/>
              </w:rPr>
              <w:t>随机抽取、现场检查</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tc>
      </w:tr>
      <w:tr>
        <w:tblPrEx>
          <w:tblCellMar>
            <w:top w:w="0" w:type="dxa"/>
            <w:left w:w="0" w:type="dxa"/>
            <w:bottom w:w="0" w:type="dxa"/>
            <w:right w:w="0" w:type="dxa"/>
          </w:tblCellMar>
        </w:tblPrEx>
        <w:trPr>
          <w:trHeight w:val="512" w:hRule="atLeast"/>
        </w:trPr>
        <w:tc>
          <w:tcPr>
            <w:tcW w:w="4331" w:type="dxa"/>
            <w:gridSpan w:val="3"/>
            <w:tcBorders>
              <w:top w:val="nil"/>
              <w:left w:val="nil"/>
              <w:bottom w:val="nil"/>
              <w:right w:val="nil"/>
            </w:tcBorders>
            <w:shd w:val="clear" w:color="auto" w:fill="auto"/>
            <w:tcMar>
              <w:top w:w="15" w:type="dxa"/>
              <w:left w:w="15" w:type="dxa"/>
              <w:right w:w="15" w:type="dxa"/>
            </w:tcMar>
            <w:vAlign w:val="center"/>
          </w:tcPr>
          <w:p>
            <w:pPr>
              <w:rPr>
                <w:rFonts w:ascii="宋体" w:hAnsi="宋体" w:cs="宋体"/>
                <w:color w:val="000000"/>
                <w:sz w:val="24"/>
                <w:szCs w:val="24"/>
              </w:rPr>
            </w:pPr>
          </w:p>
        </w:tc>
        <w:tc>
          <w:tcPr>
            <w:tcW w:w="1416" w:type="dxa"/>
            <w:tcBorders>
              <w:top w:val="nil"/>
              <w:left w:val="nil"/>
              <w:bottom w:val="nil"/>
              <w:right w:val="nil"/>
            </w:tcBorders>
            <w:shd w:val="clear" w:color="auto" w:fill="auto"/>
            <w:tcMar>
              <w:top w:w="15" w:type="dxa"/>
              <w:left w:w="15" w:type="dxa"/>
              <w:right w:w="15" w:type="dxa"/>
            </w:tcMar>
            <w:vAlign w:val="center"/>
          </w:tcPr>
          <w:p>
            <w:pPr>
              <w:rPr>
                <w:rFonts w:ascii="宋体" w:hAnsi="宋体" w:cs="宋体"/>
                <w:color w:val="000000"/>
                <w:sz w:val="24"/>
                <w:szCs w:val="24"/>
              </w:rPr>
            </w:pPr>
          </w:p>
        </w:tc>
        <w:tc>
          <w:tcPr>
            <w:tcW w:w="3500" w:type="dxa"/>
            <w:gridSpan w:val="3"/>
            <w:tcBorders>
              <w:top w:val="nil"/>
              <w:left w:val="nil"/>
              <w:bottom w:val="nil"/>
              <w:right w:val="nil"/>
            </w:tcBorders>
            <w:shd w:val="clear" w:color="auto" w:fill="auto"/>
            <w:tcMar>
              <w:top w:w="15" w:type="dxa"/>
              <w:left w:w="15" w:type="dxa"/>
              <w:right w:w="15" w:type="dxa"/>
            </w:tcMar>
            <w:vAlign w:val="center"/>
          </w:tcPr>
          <w:p>
            <w:pPr>
              <w:rPr>
                <w:rFonts w:ascii="宋体" w:hAnsi="宋体" w:cs="宋体"/>
                <w:color w:val="000000"/>
                <w:sz w:val="24"/>
                <w:szCs w:val="24"/>
              </w:rPr>
            </w:pPr>
          </w:p>
        </w:tc>
        <w:tc>
          <w:tcPr>
            <w:tcW w:w="1607" w:type="dxa"/>
            <w:tcBorders>
              <w:top w:val="nil"/>
              <w:left w:val="nil"/>
              <w:bottom w:val="nil"/>
              <w:right w:val="nil"/>
            </w:tcBorders>
            <w:shd w:val="clear" w:color="auto" w:fill="auto"/>
            <w:tcMar>
              <w:top w:w="15" w:type="dxa"/>
              <w:left w:w="15" w:type="dxa"/>
              <w:right w:w="15" w:type="dxa"/>
            </w:tcMar>
            <w:vAlign w:val="center"/>
          </w:tcPr>
          <w:p>
            <w:pPr>
              <w:rPr>
                <w:rFonts w:ascii="宋体" w:hAnsi="宋体" w:cs="宋体"/>
                <w:color w:val="000000"/>
                <w:sz w:val="24"/>
                <w:szCs w:val="24"/>
              </w:rPr>
            </w:pPr>
          </w:p>
        </w:tc>
        <w:tc>
          <w:tcPr>
            <w:tcW w:w="1657" w:type="dxa"/>
            <w:gridSpan w:val="2"/>
            <w:tcBorders>
              <w:top w:val="nil"/>
              <w:left w:val="nil"/>
              <w:bottom w:val="nil"/>
              <w:right w:val="nil"/>
            </w:tcBorders>
            <w:shd w:val="clear" w:color="auto" w:fill="auto"/>
            <w:tcMar>
              <w:top w:w="15" w:type="dxa"/>
              <w:left w:w="15" w:type="dxa"/>
              <w:right w:w="15" w:type="dxa"/>
            </w:tcMar>
            <w:vAlign w:val="center"/>
          </w:tcPr>
          <w:p>
            <w:pPr>
              <w:rPr>
                <w:rFonts w:ascii="宋体" w:hAnsi="宋体" w:cs="宋体"/>
                <w:color w:val="000000"/>
                <w:sz w:val="24"/>
                <w:szCs w:val="24"/>
              </w:rPr>
            </w:pPr>
          </w:p>
        </w:tc>
        <w:tc>
          <w:tcPr>
            <w:tcW w:w="1189" w:type="dxa"/>
            <w:gridSpan w:val="3"/>
            <w:tcBorders>
              <w:top w:val="nil"/>
              <w:left w:val="nil"/>
              <w:bottom w:val="nil"/>
              <w:right w:val="nil"/>
            </w:tcBorders>
            <w:shd w:val="clear" w:color="auto" w:fill="auto"/>
            <w:tcMar>
              <w:top w:w="15" w:type="dxa"/>
              <w:left w:w="15" w:type="dxa"/>
              <w:right w:w="15" w:type="dxa"/>
            </w:tcMar>
            <w:vAlign w:val="center"/>
          </w:tcPr>
          <w:p>
            <w:pPr>
              <w:rPr>
                <w:rFonts w:ascii="宋体" w:hAnsi="宋体" w:cs="宋体"/>
                <w:color w:val="000000"/>
                <w:sz w:val="24"/>
                <w:szCs w:val="24"/>
              </w:rPr>
            </w:pPr>
          </w:p>
        </w:tc>
      </w:tr>
    </w:tbl>
    <w:p/>
    <w:sectPr>
      <w:footerReference r:id="rId3" w:type="default"/>
      <w:type w:val="continuous"/>
      <w:pgSz w:w="16838" w:h="11906" w:orient="landscape"/>
      <w:pgMar w:top="1701" w:right="1418" w:bottom="1418" w:left="1701" w:header="851" w:footer="992" w:gutter="0"/>
      <w:cols w:space="720" w:num="1"/>
      <w:docGrid w:type="linesAndChars" w:linePitch="311" w:charSpace="-11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0000000000000000000"/>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 xml:space="preserve">PAGE   \* MERGEFORMAT</w:instrText>
    </w:r>
    <w:r>
      <w:rPr>
        <w:rFonts w:ascii="Times New Roman" w:hAnsi="Times New Roman"/>
        <w:sz w:val="24"/>
      </w:rPr>
      <w:fldChar w:fldCharType="separate"/>
    </w:r>
    <w:r>
      <w:t>2</w:t>
    </w:r>
    <w:r>
      <w:rPr>
        <w:rFonts w:ascii="Times New Roman" w:hAnsi="Times New Roman"/>
        <w:sz w:val="24"/>
      </w:rPr>
      <w:fldChar w:fldCharType="end"/>
    </w:r>
    <w:r>
      <w:rPr>
        <w:rFonts w:ascii="Times New Roman" w:hAnsi="Times New Roman"/>
        <w:sz w:val="24"/>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90860FD"/>
    <w:rsid w:val="005E4419"/>
    <w:rsid w:val="007809E7"/>
    <w:rsid w:val="00791D9A"/>
    <w:rsid w:val="008D2460"/>
    <w:rsid w:val="00997D42"/>
    <w:rsid w:val="00AA31C2"/>
    <w:rsid w:val="00AD1587"/>
    <w:rsid w:val="00C14EDA"/>
    <w:rsid w:val="00C8719F"/>
    <w:rsid w:val="00D00214"/>
    <w:rsid w:val="00E1444E"/>
    <w:rsid w:val="00EF2378"/>
    <w:rsid w:val="00FF3F68"/>
    <w:rsid w:val="05CE17F8"/>
    <w:rsid w:val="0A705849"/>
    <w:rsid w:val="0D2A0B7D"/>
    <w:rsid w:val="0E3A7C8F"/>
    <w:rsid w:val="0E4577B0"/>
    <w:rsid w:val="12610566"/>
    <w:rsid w:val="190860FD"/>
    <w:rsid w:val="1F265838"/>
    <w:rsid w:val="208815C8"/>
    <w:rsid w:val="29557BE2"/>
    <w:rsid w:val="2A1C11EB"/>
    <w:rsid w:val="2C580837"/>
    <w:rsid w:val="40E91081"/>
    <w:rsid w:val="47EC6971"/>
    <w:rsid w:val="49DA36B2"/>
    <w:rsid w:val="4A010663"/>
    <w:rsid w:val="4B2F40E4"/>
    <w:rsid w:val="4C131BCE"/>
    <w:rsid w:val="4DAC2AB6"/>
    <w:rsid w:val="50437BB0"/>
    <w:rsid w:val="52354C7C"/>
    <w:rsid w:val="537646E6"/>
    <w:rsid w:val="54985975"/>
    <w:rsid w:val="581E790C"/>
    <w:rsid w:val="59763814"/>
    <w:rsid w:val="59EF333F"/>
    <w:rsid w:val="61C064EA"/>
    <w:rsid w:val="637B6DC2"/>
    <w:rsid w:val="684D1C63"/>
    <w:rsid w:val="69ED5875"/>
    <w:rsid w:val="6FA04E3B"/>
    <w:rsid w:val="72B020EB"/>
    <w:rsid w:val="73A6644C"/>
    <w:rsid w:val="7571745E"/>
    <w:rsid w:val="76812CCD"/>
    <w:rsid w:val="77513167"/>
    <w:rsid w:val="77694979"/>
    <w:rsid w:val="77772DFC"/>
    <w:rsid w:val="791C6EF6"/>
    <w:rsid w:val="79B257E0"/>
    <w:rsid w:val="7A012091"/>
    <w:rsid w:val="7A1F64ED"/>
    <w:rsid w:val="7B7B2BBE"/>
    <w:rsid w:val="7BA02A7C"/>
    <w:rsid w:val="7F790E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character" w:styleId="6">
    <w:name w:val="Hyperlink"/>
    <w:unhideWhenUsed/>
    <w:qFormat/>
    <w:uiPriority w:val="99"/>
    <w:rPr>
      <w:color w:val="0000FF"/>
      <w:u w:val="single"/>
    </w:rPr>
  </w:style>
  <w:style w:type="character" w:customStyle="1" w:styleId="7">
    <w:name w:val="font31"/>
    <w:basedOn w:val="5"/>
    <w:qFormat/>
    <w:uiPriority w:val="0"/>
    <w:rPr>
      <w:rFonts w:hint="eastAsia" w:ascii="宋体" w:hAnsi="宋体" w:eastAsia="宋体" w:cs="宋体"/>
      <w:color w:val="000000"/>
      <w:sz w:val="24"/>
      <w:szCs w:val="24"/>
      <w:u w:val="none"/>
    </w:rPr>
  </w:style>
  <w:style w:type="character" w:customStyle="1" w:styleId="8">
    <w:name w:val="font01"/>
    <w:basedOn w:val="5"/>
    <w:qFormat/>
    <w:uiPriority w:val="0"/>
    <w:rPr>
      <w:rFonts w:hint="eastAsia" w:ascii="宋体" w:hAnsi="宋体" w:eastAsia="宋体" w:cs="宋体"/>
      <w:color w:val="000000"/>
      <w:sz w:val="24"/>
      <w:szCs w:val="24"/>
      <w:u w:val="none"/>
    </w:rPr>
  </w:style>
  <w:style w:type="character" w:customStyle="1" w:styleId="9">
    <w:name w:val="font11"/>
    <w:basedOn w:val="5"/>
    <w:qFormat/>
    <w:uiPriority w:val="0"/>
    <w:rPr>
      <w:rFonts w:hint="eastAsia" w:ascii="宋体" w:hAnsi="宋体" w:eastAsia="宋体" w:cs="宋体"/>
      <w:color w:val="000000"/>
      <w:sz w:val="24"/>
      <w:szCs w:val="24"/>
      <w:u w:val="none"/>
    </w:rPr>
  </w:style>
  <w:style w:type="character" w:customStyle="1" w:styleId="10">
    <w:name w:val="页眉 Char"/>
    <w:basedOn w:val="5"/>
    <w:link w:val="3"/>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SysCeo.com</Company>
  <Pages>1</Pages>
  <Words>248</Words>
  <Characters>1414</Characters>
  <Lines>11</Lines>
  <Paragraphs>3</Paragraphs>
  <TotalTime>44</TotalTime>
  <ScaleCrop>false</ScaleCrop>
  <LinksUpToDate>false</LinksUpToDate>
  <CharactersWithSpaces>1659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2019-06-10T07:49:00Z</dcterms:created>
  <dc:creator>Administrator</dc:creator>
  <cp:lastModifiedBy>繁华落尽♬</cp:lastModifiedBy>
  <cp:lastPrinted>2020-01-10T01:43:00Z</cp:lastPrinted>
  <dcterms:modified xsi:type="dcterms:W3CDTF">2020-04-16T08:19:40Z</dcterms:modified>
  <dc:title>四平市司法局关于做好2019年度</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