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cs="宋体" w:asciiTheme="majorEastAsia" w:hAnsiTheme="majorEastAsia" w:eastAsiaTheme="majorEastAsia"/>
          <w:b/>
          <w:color w:val="3D3D3D"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D3D3D"/>
          <w:kern w:val="36"/>
          <w:sz w:val="44"/>
          <w:szCs w:val="44"/>
          <w:lang w:eastAsia="zh-CN"/>
        </w:rPr>
        <w:t>四平市铁东区民政</w:t>
      </w:r>
      <w:r>
        <w:rPr>
          <w:rFonts w:hint="eastAsia" w:cs="宋体" w:asciiTheme="majorEastAsia" w:hAnsiTheme="majorEastAsia" w:eastAsiaTheme="majorEastAsia"/>
          <w:b/>
          <w:color w:val="3D3D3D"/>
          <w:kern w:val="36"/>
          <w:sz w:val="44"/>
          <w:szCs w:val="44"/>
        </w:rPr>
        <w:t>局行政执法信息公示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cs="宋体" w:asciiTheme="majorEastAsia" w:hAnsiTheme="majorEastAsia" w:eastAsiaTheme="majorEastAsia"/>
          <w:b/>
          <w:color w:val="3D3D3D"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D3D3D"/>
          <w:kern w:val="36"/>
          <w:sz w:val="44"/>
          <w:szCs w:val="44"/>
        </w:rPr>
        <w:t>（主体、人员、职责、权限、依据、程序、救济渠道）</w:t>
      </w:r>
    </w:p>
    <w:p>
      <w:pPr>
        <w:widowControl/>
        <w:shd w:val="clear" w:color="auto" w:fill="FFFFFF"/>
        <w:spacing w:line="360" w:lineRule="auto"/>
        <w:ind w:firstLine="420"/>
        <w:rPr>
          <w:rFonts w:ascii="仿宋" w:hAnsi="仿宋" w:eastAsia="仿宋" w:cs="宋体"/>
          <w:b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D3D3D"/>
          <w:kern w:val="0"/>
          <w:sz w:val="30"/>
          <w:szCs w:val="30"/>
        </w:rPr>
        <w:t>一、执法主体</w:t>
      </w:r>
    </w:p>
    <w:p>
      <w:pPr>
        <w:widowControl/>
        <w:shd w:val="clear" w:color="auto" w:fill="FFFFFF"/>
        <w:spacing w:line="360" w:lineRule="auto"/>
        <w:ind w:firstLine="420"/>
        <w:rPr>
          <w:rFonts w:ascii="仿宋" w:hAnsi="仿宋" w:eastAsia="仿宋" w:cs="宋体"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D3D3D"/>
          <w:kern w:val="0"/>
          <w:sz w:val="30"/>
          <w:szCs w:val="30"/>
        </w:rPr>
        <w:t>1.单位名称：</w:t>
      </w:r>
      <w:r>
        <w:rPr>
          <w:rFonts w:hint="eastAsia" w:ascii="仿宋" w:hAnsi="仿宋" w:eastAsia="仿宋" w:cs="宋体"/>
          <w:color w:val="3D3D3D"/>
          <w:kern w:val="0"/>
          <w:sz w:val="30"/>
          <w:szCs w:val="30"/>
          <w:lang w:eastAsia="zh-CN"/>
        </w:rPr>
        <w:t>四平市铁东区民政</w:t>
      </w:r>
      <w:r>
        <w:rPr>
          <w:rFonts w:hint="eastAsia" w:ascii="仿宋" w:hAnsi="仿宋" w:eastAsia="仿宋" w:cs="宋体"/>
          <w:color w:val="3D3D3D"/>
          <w:kern w:val="0"/>
          <w:sz w:val="30"/>
          <w:szCs w:val="30"/>
        </w:rPr>
        <w:t>局</w:t>
      </w:r>
    </w:p>
    <w:p>
      <w:pPr>
        <w:widowControl/>
        <w:shd w:val="clear" w:color="auto" w:fill="FFFFFF"/>
        <w:spacing w:line="360" w:lineRule="auto"/>
        <w:ind w:firstLine="420"/>
        <w:rPr>
          <w:rFonts w:ascii="仿宋" w:hAnsi="仿宋" w:eastAsia="仿宋"/>
          <w:color w:val="3D3D3D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2.执法人员名录</w:t>
      </w:r>
    </w:p>
    <w:tbl>
      <w:tblPr>
        <w:tblStyle w:val="6"/>
        <w:tblW w:w="5953" w:type="dxa"/>
        <w:tblInd w:w="1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证件编号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景宝生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C10130016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马存有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C01030017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C01010010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C01030012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C01010014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C01010012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刘大力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C01010009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万晓慧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C01010013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景澄茗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C01030012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c01030010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徐立东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C01030009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02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Style w:val="9"/>
          <w:rFonts w:hint="eastAsia" w:ascii="仿宋" w:hAnsi="仿宋" w:eastAsia="仿宋"/>
          <w:color w:val="auto"/>
          <w:sz w:val="30"/>
          <w:szCs w:val="30"/>
          <w:shd w:val="clear" w:color="auto" w:fill="FFFFFF"/>
        </w:rPr>
        <w:t>执法职责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0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1、贯彻实施国家和省有关民政行政执法的政策、法律、法规和规章，制定实施有关规章制度和办法。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0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2、依据国家法律、法规和省、市地方性政策规定，负责民政领域行政执法工作，对社会组织管理、社会救助、养老服务、殡葬、行政区划等违法行为予以查处。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0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3、受理对违反民政法律、法规和规章行为的举报、投诉。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0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三、执法权限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民政综合执法工作仅限于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四平市铁东区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的民政领域行政执法工作。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02" w:firstLineChars="200"/>
        <w:rPr>
          <w:rFonts w:ascii="仿宋" w:hAnsi="仿宋" w:eastAsia="仿宋"/>
          <w:b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shd w:val="clear" w:color="auto" w:fill="FFFFFF"/>
        </w:rPr>
        <w:t>四、执法依据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《中华人民共和国老年人权益保障法》《中华人民共和国收养法》《中国公民收养子女登记办法》《国务院关于行政区划管理的规定》《行政区域界线管理条例》《中华人民共和国慈善法》《中华人民共和国行政强制法》《行政处罚法》《慈善组织公开募捐管理办法》《慈善组织认定办法》《养老机构管理办法》《殡葬管理条例》《公墓管理暂行办法》《地名管理条例》《地名管理条例实施细则》《行政区域边界争议处理条例》《社会救助暂行办法》《城市生活无着落的流浪乞讨人员救助管理办法实施细则》《吉林省地名管理规定》《吉林省行政区域界线管理办法》《民办非企业单位登记管理暂行条例》《民办非企业单位印章管理规定》《民办非企业单位年度检查办法》《社会团体登记管理条例》《社会团体印章管理规定》《社会组织登记管理机关行政处罚程序规定》《吉林省社会团体管理若干规定》《吉林省社会团体年度检查暂行办法》等法律法规。</w:t>
      </w:r>
    </w:p>
    <w:p>
      <w:pPr>
        <w:ind w:firstLine="602" w:firstLineChars="200"/>
        <w:rPr>
          <w:rFonts w:ascii="仿宋" w:hAnsi="仿宋" w:eastAsia="仿宋"/>
          <w:b/>
          <w:color w:val="3D3D3D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D3D3D"/>
          <w:sz w:val="30"/>
          <w:szCs w:val="30"/>
          <w:shd w:val="clear" w:color="auto" w:fill="FFFFFF"/>
        </w:rPr>
        <w:t>五、执法程序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根据《中华人民共和国行政处罚法》(以下简称行政处罚法)及有关法律、行政法规的规定，按规定开展执法工作。应当遵循以下原则: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（一）以法律、法规、规章为依据;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（二）以事实为基础，处罚内容与违法行为的事实、性质、情节以及社会危害程度相当;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（三）公正、公开、及时实施;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（四）保障公民、法人或其他组织的合法权益;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（五）坚持处罚与教育相结合。</w:t>
      </w:r>
    </w:p>
    <w:p>
      <w:pPr>
        <w:spacing w:line="360" w:lineRule="auto"/>
        <w:ind w:firstLine="753" w:firstLineChars="250"/>
        <w:rPr>
          <w:rStyle w:val="9"/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六、救济途径</w:t>
      </w:r>
    </w:p>
    <w:p>
      <w:pPr>
        <w:spacing w:line="360" w:lineRule="auto"/>
        <w:ind w:firstLine="750" w:firstLineChars="250"/>
        <w:rPr>
          <w:rFonts w:hint="eastAsia" w:ascii="仿宋" w:hAnsi="仿宋" w:eastAsia="仿宋"/>
          <w:color w:val="3D3D3D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/>
          <w:b w:val="0"/>
          <w:color w:val="333333"/>
          <w:sz w:val="30"/>
          <w:szCs w:val="30"/>
          <w:shd w:val="clear" w:color="auto" w:fill="FFFFFF"/>
        </w:rPr>
        <w:t>1、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拨打监督电话：</w:t>
      </w:r>
      <w:r>
        <w:rPr>
          <w:rFonts w:hint="eastAsia" w:ascii="仿宋" w:hAnsi="仿宋" w:eastAsia="仿宋"/>
          <w:color w:val="3D3D3D"/>
          <w:sz w:val="30"/>
          <w:szCs w:val="30"/>
        </w:rPr>
        <w:t>0434-</w:t>
      </w:r>
      <w:r>
        <w:rPr>
          <w:rFonts w:hint="eastAsia" w:ascii="仿宋" w:hAnsi="仿宋" w:eastAsia="仿宋"/>
          <w:color w:val="3D3D3D"/>
          <w:sz w:val="30"/>
          <w:szCs w:val="30"/>
          <w:lang w:val="en-US" w:eastAsia="zh-CN"/>
        </w:rPr>
        <w:t>3515831</w:t>
      </w:r>
    </w:p>
    <w:p>
      <w:pPr>
        <w:spacing w:line="360" w:lineRule="auto"/>
        <w:ind w:firstLine="750" w:firstLineChars="250"/>
        <w:rPr>
          <w:rFonts w:ascii="仿宋" w:hAnsi="仿宋" w:eastAsia="仿宋"/>
          <w:color w:val="3D3D3D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2、根据《行政复议法》第九条公民、法人或者其他组织如不服有关行政决定，可以自接到决定书之日起</w:t>
      </w:r>
      <w:r>
        <w:rPr>
          <w:rFonts w:hint="eastAsia" w:ascii="仿宋" w:hAnsi="仿宋" w:eastAsia="仿宋"/>
          <w:color w:val="3D3D3D"/>
          <w:sz w:val="30"/>
          <w:szCs w:val="30"/>
        </w:rPr>
        <w:t>60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日内向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  <w:lang w:eastAsia="zh-CN"/>
        </w:rPr>
        <w:t>四平市铁东区人民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政府</w:t>
      </w:r>
      <w:r>
        <w:rPr>
          <w:rFonts w:hint="eastAsia" w:ascii="仿宋" w:hAnsi="仿宋" w:eastAsia="仿宋"/>
          <w:color w:val="auto"/>
          <w:sz w:val="30"/>
          <w:szCs w:val="30"/>
          <w:shd w:val="clear" w:color="auto" w:fill="FFFFFF"/>
        </w:rPr>
        <w:t>或四平市</w:t>
      </w:r>
      <w:r>
        <w:rPr>
          <w:rFonts w:hint="eastAsia" w:ascii="仿宋" w:hAnsi="仿宋" w:eastAsia="仿宋"/>
          <w:color w:val="auto"/>
          <w:sz w:val="30"/>
          <w:szCs w:val="30"/>
          <w:shd w:val="clear" w:color="auto" w:fill="FFFFFF"/>
          <w:lang w:eastAsia="zh-CN"/>
        </w:rPr>
        <w:t>民政</w:t>
      </w:r>
      <w:r>
        <w:rPr>
          <w:rFonts w:hint="eastAsia" w:ascii="仿宋" w:hAnsi="仿宋" w:eastAsia="仿宋"/>
          <w:color w:val="auto"/>
          <w:sz w:val="30"/>
          <w:szCs w:val="30"/>
          <w:shd w:val="clear" w:color="auto" w:fill="FFFFFF"/>
        </w:rPr>
        <w:t>局申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请行政复议。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3D3D3D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3.根据《行政诉讼法》第四十六条在六个月内直接向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  <w:lang w:eastAsia="zh-CN"/>
        </w:rPr>
        <w:t>四平市铁东区人民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法院起诉（以有关执法文书中记载为准）。</w:t>
      </w:r>
    </w:p>
    <w:p>
      <w:pPr>
        <w:spacing w:line="360" w:lineRule="auto"/>
        <w:ind w:firstLine="738" w:firstLineChars="245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738" w:firstLineChars="245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738" w:firstLineChars="245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738" w:firstLineChars="245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738" w:firstLineChars="245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738" w:firstLineChars="245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ind w:firstLine="738" w:firstLineChars="245"/>
        <w:rPr>
          <w:rFonts w:hint="eastAsia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七、随机抽查事项清单</w:t>
      </w:r>
    </w:p>
    <w:p>
      <w:pPr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四平市铁东区民政</w:t>
      </w:r>
      <w:r>
        <w:rPr>
          <w:rFonts w:hint="eastAsia"/>
          <w:b/>
          <w:sz w:val="36"/>
          <w:szCs w:val="36"/>
        </w:rPr>
        <w:t>局随机抽查事项清单</w:t>
      </w:r>
    </w:p>
    <w:tbl>
      <w:tblPr>
        <w:tblStyle w:val="7"/>
        <w:tblpPr w:leftFromText="180" w:rightFromText="180" w:vertAnchor="text" w:horzAnchor="page" w:tblpX="1055" w:tblpY="640"/>
        <w:tblOverlap w:val="never"/>
        <w:tblW w:w="100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47"/>
        <w:gridCol w:w="3031"/>
        <w:gridCol w:w="1701"/>
        <w:gridCol w:w="1559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抽查比例和频次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铁东区民政局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《社会团体登记管理条例》和《社会组织抽查暂行办法》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社会团体违反《社会团体登记管理条例》和《社会组织抽查暂行办法》规定问题抽查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按主体随机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抽查比例不低于3%，结合年检一年一次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铁东区民政局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民办非企业单位违反《民办非企业单位登记管理暂行条例 》和《社会组织抽查暂行办法》规定问题抽查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民办非企业单位违反《民办非企业单位登记管理暂行条例 》和《社会组织抽查暂行办法》规定问题抽查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按主体随机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宋体" w:cs="Tahoma"/>
                <w:color w:val="000000"/>
                <w:kern w:val="0"/>
                <w:sz w:val="6"/>
                <w:szCs w:val="6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抽查比例不低于3%，结合年检一年一次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AE10"/>
    <w:multiLevelType w:val="singleLevel"/>
    <w:tmpl w:val="6ED3AE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1D"/>
    <w:rsid w:val="0004613C"/>
    <w:rsid w:val="000A1AC0"/>
    <w:rsid w:val="00127F9F"/>
    <w:rsid w:val="00146671"/>
    <w:rsid w:val="001B2CE3"/>
    <w:rsid w:val="003760F4"/>
    <w:rsid w:val="00460C9C"/>
    <w:rsid w:val="004638B3"/>
    <w:rsid w:val="00476AF4"/>
    <w:rsid w:val="00482B2C"/>
    <w:rsid w:val="00534C16"/>
    <w:rsid w:val="007618B9"/>
    <w:rsid w:val="00767343"/>
    <w:rsid w:val="008A5C1D"/>
    <w:rsid w:val="0094118C"/>
    <w:rsid w:val="00A54CC5"/>
    <w:rsid w:val="00AC14E8"/>
    <w:rsid w:val="00AF3466"/>
    <w:rsid w:val="00BC0491"/>
    <w:rsid w:val="00C75445"/>
    <w:rsid w:val="00C93F8C"/>
    <w:rsid w:val="00D226CF"/>
    <w:rsid w:val="00D819AE"/>
    <w:rsid w:val="00D9025B"/>
    <w:rsid w:val="00DB7EFC"/>
    <w:rsid w:val="00E25781"/>
    <w:rsid w:val="00E7505A"/>
    <w:rsid w:val="00EC3976"/>
    <w:rsid w:val="00F8121C"/>
    <w:rsid w:val="00FD00D3"/>
    <w:rsid w:val="010A0CAE"/>
    <w:rsid w:val="01711A4C"/>
    <w:rsid w:val="0DB24C7E"/>
    <w:rsid w:val="25274FA7"/>
    <w:rsid w:val="28611429"/>
    <w:rsid w:val="2CFA3D68"/>
    <w:rsid w:val="2D8F4385"/>
    <w:rsid w:val="2D9B118B"/>
    <w:rsid w:val="32E548FC"/>
    <w:rsid w:val="382B03E3"/>
    <w:rsid w:val="3D4036EF"/>
    <w:rsid w:val="42634432"/>
    <w:rsid w:val="46F1616D"/>
    <w:rsid w:val="47B9006F"/>
    <w:rsid w:val="482159AF"/>
    <w:rsid w:val="4A6019B3"/>
    <w:rsid w:val="4DC13136"/>
    <w:rsid w:val="532B6EDB"/>
    <w:rsid w:val="5342510F"/>
    <w:rsid w:val="565C4FEA"/>
    <w:rsid w:val="5730777B"/>
    <w:rsid w:val="58BC212F"/>
    <w:rsid w:val="59B41E64"/>
    <w:rsid w:val="5B2C6829"/>
    <w:rsid w:val="5E916F50"/>
    <w:rsid w:val="6DB14DCF"/>
    <w:rsid w:val="751F3BF1"/>
    <w:rsid w:val="76D537C0"/>
    <w:rsid w:val="77263FD4"/>
    <w:rsid w:val="7BED3F7C"/>
    <w:rsid w:val="7C0828EB"/>
    <w:rsid w:val="7F832C7B"/>
    <w:rsid w:val="7F9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1493</Words>
  <Characters>8513</Characters>
  <Lines>70</Lines>
  <Paragraphs>19</Paragraphs>
  <TotalTime>4</TotalTime>
  <ScaleCrop>false</ScaleCrop>
  <LinksUpToDate>false</LinksUpToDate>
  <CharactersWithSpaces>9987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2020-08-09T02:13:00Z</dcterms:created>
  <dc:creator>Windows 用户</dc:creator>
  <cp:lastModifiedBy>yc</cp:lastModifiedBy>
  <cp:lastPrinted>2020-08-13T03:12:00Z</cp:lastPrinted>
  <dcterms:modified xsi:type="dcterms:W3CDTF">2020-12-16T02:14:09Z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